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2D6551">
            <w:pPr>
              <w:suppressLineNumbers/>
              <w:spacing w:line="360" w:lineRule="auto"/>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106E5C" w:rsidRDefault="006E1F19">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ות</w:t>
                </w:r>
              </w:p>
            </w:sdtContent>
          </w:sdt>
        </w:tc>
        <w:tc>
          <w:tcPr>
            <w:tcW w:w="5571" w:type="dxa"/>
          </w:tcPr>
          <w:p w:rsidR="00FA7FD0" w:rsidRDefault="00FA7FD0" w:rsidP="00D44968">
            <w:pPr>
              <w:suppressLineNumbers/>
              <w:rPr>
                <w:rtl/>
              </w:rPr>
            </w:pPr>
          </w:p>
          <w:p w:rsidR="0094424E" w:rsidRDefault="00153B29" w:rsidP="00196359">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E765F7">
                  <w:rPr>
                    <w:rFonts w:ascii="Arial" w:hAnsi="Arial"/>
                    <w:b/>
                    <w:bCs/>
                    <w:noProof w:val="0"/>
                    <w:sz w:val="26"/>
                    <w:szCs w:val="26"/>
                    <w:rtl/>
                  </w:rPr>
                  <w:t>1</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196359">
                  <w:rPr>
                    <w:rFonts w:ascii="Arial" w:hAnsi="Arial"/>
                    <w:b/>
                    <w:bCs/>
                    <w:noProof w:val="0"/>
                    <w:sz w:val="26"/>
                    <w:szCs w:val="26"/>
                    <w:rtl/>
                  </w:rPr>
                  <w:t>כ</w:t>
                </w:r>
                <w:r w:rsidR="00196359">
                  <w:rPr>
                    <w:rFonts w:ascii="Arial" w:hAnsi="Arial" w:hint="cs"/>
                    <w:b/>
                    <w:bCs/>
                    <w:noProof w:val="0"/>
                    <w:sz w:val="26"/>
                    <w:szCs w:val="26"/>
                    <w:rtl/>
                  </w:rPr>
                  <w:t>. ל</w:t>
                </w:r>
              </w:sdtContent>
            </w:sdt>
          </w:p>
          <w:p w:rsidR="0094424E" w:rsidRDefault="00153B29" w:rsidP="00196359">
            <w:pPr>
              <w:suppressLineNumbers/>
              <w:spacing w:line="360" w:lineRule="auto"/>
              <w:rPr>
                <w:b/>
                <w:bCs/>
                <w:noProof w:val="0"/>
                <w:sz w:val="26"/>
                <w:szCs w:val="26"/>
              </w:rPr>
            </w:pPr>
            <w:sdt>
              <w:sdtPr>
                <w:rPr>
                  <w:rFonts w:ascii="Arial" w:hAnsi="Arial"/>
                  <w:b/>
                  <w:bCs/>
                  <w:noProof w:val="0"/>
                  <w:sz w:val="26"/>
                  <w:szCs w:val="26"/>
                  <w:rtl/>
                </w:rPr>
                <w:alias w:val="1462"/>
                <w:tag w:val="1462"/>
                <w:id w:val="197441266"/>
                <w:text w:multiLine="1"/>
              </w:sdtPr>
              <w:sdtEndPr/>
              <w:sdtContent>
                <w:r w:rsidR="00E765F7">
                  <w:rPr>
                    <w:rFonts w:ascii="Arial" w:hAnsi="Arial"/>
                    <w:b/>
                    <w:bCs/>
                    <w:noProof w:val="0"/>
                    <w:sz w:val="26"/>
                    <w:szCs w:val="26"/>
                    <w:rtl/>
                  </w:rPr>
                  <w:t>2</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594901709"/>
                <w:placeholder>
                  <w:docPart w:val="1C8A38705F7143EA87FF3DEB2C34E7E5"/>
                </w:placeholder>
                <w:text w:multiLine="1"/>
              </w:sdtPr>
              <w:sdtEndPr/>
              <w:sdtContent>
                <w:r w:rsidR="00196359">
                  <w:rPr>
                    <w:rFonts w:ascii="Arial" w:hAnsi="Arial"/>
                    <w:b/>
                    <w:bCs/>
                    <w:noProof w:val="0"/>
                    <w:sz w:val="26"/>
                    <w:szCs w:val="26"/>
                    <w:rtl/>
                  </w:rPr>
                  <w:t>ל</w:t>
                </w:r>
                <w:r w:rsidR="00196359">
                  <w:rPr>
                    <w:rFonts w:ascii="Arial" w:hAnsi="Arial" w:hint="cs"/>
                    <w:b/>
                    <w:bCs/>
                    <w:noProof w:val="0"/>
                    <w:sz w:val="26"/>
                    <w:szCs w:val="26"/>
                    <w:rtl/>
                  </w:rPr>
                  <w:t>. ה</w:t>
                </w:r>
                <w:r w:rsidR="002D6551">
                  <w:rPr>
                    <w:rFonts w:ascii="Arial" w:hAnsi="Arial"/>
                    <w:b/>
                    <w:bCs/>
                    <w:noProof w:val="0"/>
                    <w:sz w:val="26"/>
                    <w:szCs w:val="26"/>
                    <w:rtl/>
                  </w:rPr>
                  <w:br/>
                </w:r>
                <w:r w:rsidR="002D6551">
                  <w:rPr>
                    <w:rFonts w:ascii="Arial" w:hAnsi="Arial" w:hint="cs"/>
                    <w:b/>
                    <w:bCs/>
                    <w:noProof w:val="0"/>
                    <w:sz w:val="26"/>
                    <w:szCs w:val="26"/>
                    <w:rtl/>
                  </w:rPr>
                  <w:t>ע"י ב"כ עו"ד תמר סוטיל</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2D6551">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53B29" w:rsidP="00D44968">
            <w:pPr>
              <w:suppressLineNumbers/>
              <w:rPr>
                <w:rFonts w:ascii="Arial" w:hAnsi="Arial"/>
                <w:b/>
                <w:bCs/>
                <w:noProof w:val="0"/>
                <w:sz w:val="26"/>
                <w:szCs w:val="26"/>
              </w:rPr>
            </w:pPr>
            <w:sdt>
              <w:sdtPr>
                <w:rPr>
                  <w:rFonts w:ascii="Arial" w:hAnsi="Arial"/>
                  <w:b/>
                  <w:bCs/>
                  <w:noProof w:val="0"/>
                  <w:sz w:val="26"/>
                  <w:szCs w:val="26"/>
                  <w:rtl/>
                </w:rPr>
                <w:alias w:val="1184"/>
                <w:tag w:val="1184"/>
                <w:id w:val="-340621022"/>
                <w:text w:multiLine="1"/>
              </w:sdtPr>
              <w:sdtEndPr/>
              <w:sdtContent>
                <w:r w:rsidR="006E1F19" w:rsidRPr="00890CCC">
                  <w:rPr>
                    <w:rFonts w:ascii="Arial" w:hAnsi="Arial"/>
                    <w:b/>
                    <w:bCs/>
                    <w:noProof w:val="0"/>
                    <w:sz w:val="26"/>
                    <w:szCs w:val="26"/>
                    <w:rtl/>
                  </w:rPr>
                  <w:t>משיב</w:t>
                </w:r>
                <w:r w:rsidR="00890CCC">
                  <w:rPr>
                    <w:rFonts w:ascii="Arial" w:hAnsi="Arial"/>
                    <w:b/>
                    <w:bCs/>
                    <w:noProof w:val="0"/>
                    <w:sz w:val="26"/>
                    <w:szCs w:val="26"/>
                    <w:rtl/>
                  </w:rPr>
                  <w:br/>
                </w:r>
                <w:r w:rsidR="00890CCC" w:rsidRPr="00890CCC">
                  <w:rPr>
                    <w:rFonts w:ascii="Arial" w:hAnsi="Arial"/>
                    <w:b/>
                    <w:bCs/>
                    <w:noProof w:val="0"/>
                    <w:sz w:val="26"/>
                    <w:szCs w:val="26"/>
                    <w:rtl/>
                  </w:rPr>
                  <w:br/>
                </w:r>
                <w:r w:rsidR="00890CCC" w:rsidRPr="00890CCC">
                  <w:rPr>
                    <w:rFonts w:ascii="Arial" w:hAnsi="Arial"/>
                    <w:b/>
                    <w:bCs/>
                    <w:noProof w:val="0"/>
                    <w:sz w:val="26"/>
                    <w:szCs w:val="26"/>
                    <w:rtl/>
                  </w:rPr>
                  <w:br/>
                </w:r>
                <w:r w:rsidR="00890CCC" w:rsidRPr="00890CCC">
                  <w:rPr>
                    <w:rFonts w:ascii="Arial" w:hAnsi="Arial"/>
                    <w:b/>
                    <w:bCs/>
                    <w:noProof w:val="0"/>
                    <w:sz w:val="26"/>
                    <w:szCs w:val="26"/>
                    <w:rtl/>
                  </w:rPr>
                  <w:br/>
                </w:r>
                <w:r w:rsidR="00890CCC" w:rsidRPr="00890CCC">
                  <w:rPr>
                    <w:rFonts w:ascii="Arial" w:hAnsi="Arial" w:hint="cs"/>
                    <w:b/>
                    <w:bCs/>
                    <w:noProof w:val="0"/>
                    <w:sz w:val="26"/>
                    <w:szCs w:val="26"/>
                    <w:rtl/>
                  </w:rPr>
                  <w:t>בעניין עזבון המנוחה</w:t>
                </w:r>
              </w:sdtContent>
            </w:sdt>
          </w:p>
        </w:tc>
        <w:tc>
          <w:tcPr>
            <w:tcW w:w="5571" w:type="dxa"/>
          </w:tcPr>
          <w:p w:rsidR="00CF6BB7" w:rsidRDefault="00153B29"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196359">
                  <w:rPr>
                    <w:rFonts w:ascii="Arial" w:hAnsi="Arial" w:hint="cs"/>
                    <w:b/>
                    <w:bCs/>
                    <w:noProof w:val="0"/>
                    <w:sz w:val="26"/>
                    <w:szCs w:val="26"/>
                    <w:rtl/>
                  </w:rPr>
                  <w:t>ב. ב. ח</w:t>
                </w:r>
                <w:r w:rsidR="00890CCC">
                  <w:rPr>
                    <w:rFonts w:ascii="Arial" w:hAnsi="Arial"/>
                    <w:b/>
                    <w:bCs/>
                    <w:noProof w:val="0"/>
                    <w:sz w:val="26"/>
                    <w:szCs w:val="26"/>
                    <w:rtl/>
                  </w:rPr>
                  <w:br/>
                </w:r>
              </w:sdtContent>
            </w:sdt>
          </w:p>
          <w:p w:rsidR="00890CCC" w:rsidRDefault="00890CCC" w:rsidP="00FE09EC">
            <w:pPr>
              <w:suppressLineNumbers/>
              <w:rPr>
                <w:rFonts w:ascii="Arial" w:hAnsi="Arial"/>
                <w:b/>
                <w:bCs/>
                <w:noProof w:val="0"/>
                <w:sz w:val="26"/>
                <w:szCs w:val="26"/>
                <w:rtl/>
              </w:rPr>
            </w:pPr>
          </w:p>
          <w:p w:rsidR="00890CCC" w:rsidRDefault="00890CCC" w:rsidP="00FE09EC">
            <w:pPr>
              <w:suppressLineNumbers/>
              <w:rPr>
                <w:rFonts w:ascii="Arial" w:hAnsi="Arial"/>
                <w:b/>
                <w:bCs/>
                <w:noProof w:val="0"/>
                <w:sz w:val="26"/>
                <w:szCs w:val="26"/>
                <w:rtl/>
              </w:rPr>
            </w:pPr>
          </w:p>
          <w:p w:rsidR="00890CCC" w:rsidRPr="00890CCC" w:rsidRDefault="00196359" w:rsidP="00196359">
            <w:pPr>
              <w:suppressLineNumbers/>
              <w:rPr>
                <w:rFonts w:ascii="Arial" w:hAnsi="Arial"/>
                <w:noProof w:val="0"/>
                <w:sz w:val="26"/>
                <w:szCs w:val="26"/>
                <w:rtl/>
              </w:rPr>
            </w:pPr>
            <w:r>
              <w:rPr>
                <w:b/>
                <w:bCs/>
                <w:sz w:val="26"/>
                <w:szCs w:val="26"/>
                <w:rtl/>
              </w:rPr>
              <w:t>ע</w:t>
            </w:r>
            <w:r>
              <w:rPr>
                <w:rFonts w:hint="cs"/>
                <w:b/>
                <w:bCs/>
                <w:sz w:val="26"/>
                <w:szCs w:val="26"/>
                <w:rtl/>
              </w:rPr>
              <w:t xml:space="preserve">. ש </w:t>
            </w:r>
            <w:r>
              <w:rPr>
                <w:b/>
                <w:bCs/>
                <w:sz w:val="26"/>
                <w:szCs w:val="26"/>
                <w:rtl/>
              </w:rPr>
              <w:t>ז"ל</w:t>
            </w:r>
          </w:p>
        </w:tc>
      </w:tr>
    </w:tbl>
    <w:p w:rsidR="0094424E" w:rsidRDefault="0094424E" w:rsidP="00D44968">
      <w:pPr>
        <w:suppressLineNumbers/>
        <w:rPr>
          <w:rtl/>
        </w:rPr>
      </w:pPr>
    </w:p>
    <w:p w:rsidR="006E1F19" w:rsidRDefault="006E1F19" w:rsidP="00D44968">
      <w:pPr>
        <w:suppressLineNumbers/>
        <w:rPr>
          <w:rtl/>
        </w:rPr>
      </w:pPr>
    </w:p>
    <w:p w:rsidR="006E1F19" w:rsidRDefault="006E1F19"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90CCC" w:rsidRDefault="00890CCC" w:rsidP="00890CCC">
      <w:pPr>
        <w:spacing w:after="120" w:line="360" w:lineRule="auto"/>
        <w:ind w:left="720" w:hanging="720"/>
        <w:jc w:val="both"/>
        <w:rPr>
          <w:rFonts w:ascii="Arial" w:hAnsi="Arial"/>
          <w:noProof w:val="0"/>
        </w:rPr>
      </w:pPr>
      <w:bookmarkStart w:id="0" w:name="NGCSBookmark"/>
      <w:bookmarkEnd w:id="0"/>
      <w:r>
        <w:rPr>
          <w:rFonts w:ascii="Arial" w:hAnsi="Arial"/>
          <w:noProof w:val="0"/>
          <w:rtl/>
        </w:rPr>
        <w:t>1.</w:t>
      </w:r>
      <w:r>
        <w:rPr>
          <w:rFonts w:ascii="Arial" w:hAnsi="Arial"/>
          <w:noProof w:val="0"/>
          <w:rtl/>
        </w:rPr>
        <w:tab/>
        <w:t>בפני בקשת רשות ערעור על החלטת בית משפט לענייני משפחה בקריות (כב' השופטת גילה ספרא ברנע) מיום 30.5.2024 ב-ת"ע 44841-10-19 (להלן: "</w:t>
      </w:r>
      <w:r>
        <w:rPr>
          <w:rFonts w:ascii="Arial" w:hAnsi="Arial"/>
          <w:b/>
          <w:bCs/>
          <w:noProof w:val="0"/>
          <w:rtl/>
        </w:rPr>
        <w:t>התיק</w:t>
      </w:r>
      <w:r>
        <w:rPr>
          <w:rFonts w:ascii="Arial" w:hAnsi="Arial"/>
          <w:noProof w:val="0"/>
          <w:rtl/>
        </w:rPr>
        <w:t xml:space="preserve"> </w:t>
      </w:r>
      <w:r>
        <w:rPr>
          <w:rFonts w:ascii="Arial" w:hAnsi="Arial"/>
          <w:b/>
          <w:bCs/>
          <w:noProof w:val="0"/>
          <w:rtl/>
        </w:rPr>
        <w:t>קמא</w:t>
      </w:r>
      <w:r>
        <w:rPr>
          <w:rFonts w:ascii="Arial" w:hAnsi="Arial"/>
          <w:noProof w:val="0"/>
          <w:rtl/>
        </w:rPr>
        <w:t xml:space="preserve">"), במסגרתה דחה בית משפט קמא את בקשת המבקשות כאן, לתת פסק דין בתובענה קמא לאחר שמיעת עד מומחה מטעם בית המשפט, ובטרם הושלמה שמיעת כל העדים בתיק קמא (להלן: </w:t>
      </w:r>
      <w:r>
        <w:rPr>
          <w:rFonts w:ascii="Arial" w:hAnsi="Arial"/>
          <w:b/>
          <w:bCs/>
          <w:noProof w:val="0"/>
          <w:rtl/>
        </w:rPr>
        <w:t>"ההחלטה קמא"</w:t>
      </w:r>
      <w:r>
        <w:rPr>
          <w:rFonts w:ascii="Arial" w:hAnsi="Arial"/>
          <w:noProof w:val="0"/>
          <w:rtl/>
        </w:rPr>
        <w:t>).</w:t>
      </w:r>
    </w:p>
    <w:p w:rsidR="00890CCC" w:rsidRDefault="00890CCC" w:rsidP="00890CCC">
      <w:pPr>
        <w:spacing w:after="120" w:line="360" w:lineRule="auto"/>
        <w:ind w:left="720" w:hanging="720"/>
        <w:jc w:val="both"/>
        <w:rPr>
          <w:rFonts w:ascii="Arial" w:hAnsi="Arial"/>
          <w:noProof w:val="0"/>
        </w:rPr>
      </w:pPr>
    </w:p>
    <w:p w:rsidR="00890CCC" w:rsidRDefault="00890CCC" w:rsidP="00890CCC">
      <w:pPr>
        <w:spacing w:after="120" w:line="360" w:lineRule="auto"/>
        <w:ind w:left="720" w:hanging="720"/>
        <w:jc w:val="both"/>
        <w:rPr>
          <w:rFonts w:ascii="Arial" w:hAnsi="Arial"/>
          <w:b/>
          <w:bCs/>
          <w:noProof w:val="0"/>
          <w:u w:val="single"/>
          <w:rtl/>
        </w:rPr>
      </w:pPr>
      <w:r>
        <w:rPr>
          <w:rFonts w:ascii="Arial" w:hAnsi="Arial"/>
          <w:b/>
          <w:bCs/>
          <w:noProof w:val="0"/>
          <w:u w:val="single"/>
          <w:rtl/>
        </w:rPr>
        <w:t>רקע וההחלטה קמא</w:t>
      </w:r>
    </w:p>
    <w:p w:rsidR="00890CCC" w:rsidRDefault="00890CCC" w:rsidP="00A2040E">
      <w:pPr>
        <w:spacing w:after="120" w:line="360" w:lineRule="auto"/>
        <w:ind w:left="720" w:hanging="720"/>
        <w:jc w:val="both"/>
        <w:rPr>
          <w:rFonts w:ascii="David" w:hAnsi="David"/>
          <w:rtl/>
        </w:rPr>
      </w:pPr>
      <w:r>
        <w:rPr>
          <w:rFonts w:ascii="Arial" w:hAnsi="Arial"/>
          <w:noProof w:val="0"/>
          <w:rtl/>
        </w:rPr>
        <w:t>2.</w:t>
      </w:r>
      <w:r>
        <w:rPr>
          <w:rFonts w:ascii="Arial" w:hAnsi="Arial"/>
          <w:noProof w:val="0"/>
          <w:rtl/>
        </w:rPr>
        <w:tab/>
      </w:r>
      <w:r>
        <w:rPr>
          <w:rFonts w:ascii="David" w:hAnsi="David"/>
          <w:rtl/>
        </w:rPr>
        <w:t xml:space="preserve">המבקשות הן בנותיה של המנוחה. המשיב הוא אחיינה של המנוחה. </w:t>
      </w:r>
      <w:r>
        <w:rPr>
          <w:rFonts w:ascii="Arial" w:hAnsi="Arial"/>
          <w:noProof w:val="0"/>
          <w:rtl/>
        </w:rPr>
        <w:t>בין המבקשות למשיב (להלן גם: "</w:t>
      </w:r>
      <w:r>
        <w:rPr>
          <w:rFonts w:ascii="Arial" w:hAnsi="Arial"/>
          <w:b/>
          <w:bCs/>
          <w:noProof w:val="0"/>
          <w:rtl/>
        </w:rPr>
        <w:t>הצדדים</w:t>
      </w:r>
      <w:r>
        <w:rPr>
          <w:rFonts w:ascii="Arial" w:hAnsi="Arial"/>
          <w:noProof w:val="0"/>
          <w:rtl/>
        </w:rPr>
        <w:t>") ניטשה מחלוקת</w:t>
      </w:r>
      <w:r>
        <w:rPr>
          <w:rFonts w:ascii="David" w:hAnsi="David"/>
          <w:rtl/>
        </w:rPr>
        <w:t xml:space="preserve"> באשר לתקפות או ב</w:t>
      </w:r>
      <w:r w:rsidR="00A2040E">
        <w:rPr>
          <w:rFonts w:ascii="David" w:hAnsi="David"/>
          <w:rtl/>
        </w:rPr>
        <w:t>טלות צוואת המנוחה, גב' ע</w:t>
      </w:r>
      <w:r w:rsidR="00A2040E">
        <w:rPr>
          <w:rFonts w:ascii="David" w:hAnsi="David" w:hint="cs"/>
          <w:rtl/>
        </w:rPr>
        <w:t>. ש</w:t>
      </w:r>
      <w:r>
        <w:rPr>
          <w:rFonts w:ascii="David" w:hAnsi="David"/>
          <w:rtl/>
        </w:rPr>
        <w:t xml:space="preserve"> ז"ל (להלן: "</w:t>
      </w:r>
      <w:r>
        <w:rPr>
          <w:rFonts w:ascii="David" w:hAnsi="David"/>
          <w:b/>
          <w:bCs/>
          <w:rtl/>
        </w:rPr>
        <w:t>המנוחה</w:t>
      </w:r>
      <w:r>
        <w:rPr>
          <w:rFonts w:ascii="David" w:hAnsi="David"/>
          <w:rtl/>
        </w:rPr>
        <w:t>"), שנחתמה על ידה ביום 13.7.2016 (להלן: "</w:t>
      </w:r>
      <w:r>
        <w:rPr>
          <w:rFonts w:ascii="David" w:hAnsi="David"/>
          <w:b/>
          <w:bCs/>
          <w:rtl/>
        </w:rPr>
        <w:t>הצוואה</w:t>
      </w:r>
      <w:r>
        <w:rPr>
          <w:rFonts w:ascii="David" w:hAnsi="David"/>
          <w:rtl/>
        </w:rPr>
        <w:t xml:space="preserve">"). המנוחה נפטרה ביום </w:t>
      </w:r>
      <w:r w:rsidR="00A2040E">
        <w:rPr>
          <w:rFonts w:ascii="David" w:hAnsi="David" w:hint="cs"/>
          <w:rtl/>
        </w:rPr>
        <w:t>0.0.2019.</w:t>
      </w:r>
    </w:p>
    <w:p w:rsidR="00890CCC" w:rsidRDefault="00890CCC" w:rsidP="00A63C3B">
      <w:pPr>
        <w:spacing w:after="120" w:line="360" w:lineRule="auto"/>
        <w:ind w:left="720" w:hanging="720"/>
        <w:jc w:val="both"/>
        <w:rPr>
          <w:rFonts w:ascii="David" w:hAnsi="David"/>
          <w:rtl/>
        </w:rPr>
      </w:pPr>
      <w:r>
        <w:rPr>
          <w:rFonts w:ascii="David" w:hAnsi="David"/>
          <w:rtl/>
        </w:rPr>
        <w:t>3.</w:t>
      </w:r>
      <w:r>
        <w:rPr>
          <w:rFonts w:ascii="David" w:hAnsi="David"/>
          <w:rtl/>
        </w:rPr>
        <w:tab/>
        <w:t xml:space="preserve">ביום 23.7.2019 הגיש המשיב כאן, בקשה לצו קיום צוואה בעדים שלכאורה נערכה ונחתמה על ידי המנוחה ביום 13.7.2016, בהיותה מאושפזת במוסד ומתמודדת עם מחלה נפשית. מצוואה זו עולה, כי המנוחה צוותה את כל רכושה למשיב, לרבות הדירה שבבעלות המנוחה. </w:t>
      </w:r>
    </w:p>
    <w:p w:rsidR="00890CCC" w:rsidRDefault="00890CCC" w:rsidP="00890CCC">
      <w:pPr>
        <w:spacing w:after="120" w:line="360" w:lineRule="auto"/>
        <w:ind w:left="720" w:hanging="720"/>
        <w:jc w:val="both"/>
        <w:rPr>
          <w:rFonts w:ascii="David" w:hAnsi="David"/>
          <w:rtl/>
        </w:rPr>
      </w:pPr>
      <w:r>
        <w:rPr>
          <w:rFonts w:ascii="David" w:hAnsi="David"/>
          <w:rtl/>
        </w:rPr>
        <w:t>4.</w:t>
      </w:r>
      <w:r>
        <w:rPr>
          <w:rFonts w:ascii="David" w:hAnsi="David"/>
          <w:rtl/>
        </w:rPr>
        <w:tab/>
        <w:t xml:space="preserve">הצוואה נחתמה בנוכחות העדים עוה"ד אריה סאמרלי, אשר אף ערך את הצוואה, ולגביו נטען כי שכר טרחתו שולם על ידי המשיב; וכן ד"ר אלינה גופמן, אשר נטען כי שכר טרחתה שולם על ידי הורי המשיב. </w:t>
      </w:r>
    </w:p>
    <w:p w:rsidR="00890CCC" w:rsidRDefault="00890CCC" w:rsidP="00890CCC">
      <w:pPr>
        <w:spacing w:after="120" w:line="360" w:lineRule="auto"/>
        <w:ind w:left="720" w:hanging="720"/>
        <w:jc w:val="both"/>
        <w:rPr>
          <w:rFonts w:ascii="David" w:hAnsi="David"/>
          <w:rtl/>
        </w:rPr>
      </w:pPr>
      <w:r>
        <w:rPr>
          <w:rFonts w:ascii="David" w:hAnsi="David"/>
          <w:rtl/>
        </w:rPr>
        <w:lastRenderedPageBreak/>
        <w:t>5.</w:t>
      </w:r>
      <w:r>
        <w:rPr>
          <w:rFonts w:ascii="David" w:hAnsi="David"/>
          <w:rtl/>
        </w:rPr>
        <w:tab/>
        <w:t xml:space="preserve">ביום 29.8.2019 הגישו המבקשות כאן, התנגדות לצו קיום צוואת המנוחה ובקשה לצו ירושה. בהתנגדות נטען בין היתר כי המנוחה היתה מאושפזת לסירוגין במוסדות לבריאות הנפש לאורך כ-50 שנים, לא היתה מודעת למעשיה, לא שלטה עליהם ולא הבינה את הנעשה בסביבתה. </w:t>
      </w:r>
    </w:p>
    <w:p w:rsidR="00890CCC" w:rsidRDefault="00890CCC" w:rsidP="00890CCC">
      <w:pPr>
        <w:spacing w:after="120" w:line="360" w:lineRule="auto"/>
        <w:ind w:left="720" w:hanging="720"/>
        <w:jc w:val="both"/>
        <w:rPr>
          <w:rFonts w:ascii="David" w:hAnsi="David"/>
          <w:rtl/>
        </w:rPr>
      </w:pPr>
      <w:r>
        <w:rPr>
          <w:rFonts w:ascii="David" w:hAnsi="David"/>
          <w:rtl/>
        </w:rPr>
        <w:tab/>
        <w:t>עוד נטען כי הצוואה אינה משקפת כלל את רצונה האמיתי של המנוחה, עקב מצבה, לרבות התרופות שנטלה והיא לא היתה כשירה לערוך כלל צוואה, לא יכלה להבחין בטיבה של צוואה, לא הבינה את ההשלכות של עריכת צוואה ותוצאותיה, לא יכלה להביע את רצונה האמיתי, החופשי והעצמאי. כן נטען הצוואה נעשתה תחת לחץ, אונס, השפעה בלתי הוגנת ומעורבותם של המשיב והוריו בעריכת הצוואה.</w:t>
      </w:r>
    </w:p>
    <w:p w:rsidR="00890CCC" w:rsidRDefault="00890CCC" w:rsidP="00890CCC">
      <w:pPr>
        <w:spacing w:after="120" w:line="360" w:lineRule="auto"/>
        <w:ind w:left="720" w:hanging="720"/>
        <w:jc w:val="both"/>
        <w:rPr>
          <w:rFonts w:ascii="David" w:hAnsi="David"/>
          <w:rtl/>
        </w:rPr>
      </w:pPr>
      <w:r>
        <w:rPr>
          <w:rFonts w:ascii="David" w:hAnsi="David"/>
          <w:rtl/>
        </w:rPr>
        <w:t>6.</w:t>
      </w:r>
      <w:r>
        <w:rPr>
          <w:rFonts w:ascii="David" w:hAnsi="David"/>
          <w:rtl/>
        </w:rPr>
        <w:tab/>
        <w:t xml:space="preserve">לאחר </w:t>
      </w:r>
      <w:r w:rsidR="00461BB0">
        <w:rPr>
          <w:rFonts w:ascii="David" w:hAnsi="David" w:hint="cs"/>
          <w:rtl/>
        </w:rPr>
        <w:t>כ</w:t>
      </w:r>
      <w:r>
        <w:rPr>
          <w:rFonts w:ascii="David" w:hAnsi="David"/>
          <w:rtl/>
        </w:rPr>
        <w:t>שלוש שנים מתחילת ניהול ההליך קמא, התגלה סרטון (לגביו טענו המבקשות כי המשיב החביא</w:t>
      </w:r>
      <w:r w:rsidR="00461BB0">
        <w:rPr>
          <w:rFonts w:ascii="David" w:hAnsi="David" w:hint="cs"/>
          <w:rtl/>
        </w:rPr>
        <w:t>ֹ</w:t>
      </w:r>
      <w:r>
        <w:rPr>
          <w:rFonts w:ascii="David" w:hAnsi="David"/>
          <w:rtl/>
        </w:rPr>
        <w:t xml:space="preserve">ו מפניהן), לפיו טרם חתימת המנוחה על הצוואה, הוסרט הראיון שערכה המנוחה עם ד"ר אלינה גופמן, בנוכחות עו"ד סאמרלי ואם המשיב. לטענת המבקשות, הסרטון מצביע על היעדר כשרותה של המנוחה לצוות צוואה, ובהצטרף כלל הנסיבות, יש לקבוע כי הצוואה מבוטלת ולחלק את עזבון המנוחה על פי דין. </w:t>
      </w:r>
    </w:p>
    <w:p w:rsidR="00890CCC" w:rsidRDefault="00890CCC" w:rsidP="00890CCC">
      <w:pPr>
        <w:spacing w:after="120" w:line="360" w:lineRule="auto"/>
        <w:ind w:left="720" w:hanging="720"/>
        <w:jc w:val="both"/>
        <w:rPr>
          <w:rFonts w:ascii="David" w:hAnsi="David"/>
          <w:rtl/>
        </w:rPr>
      </w:pPr>
      <w:r>
        <w:rPr>
          <w:rFonts w:ascii="David" w:hAnsi="David"/>
          <w:rtl/>
        </w:rPr>
        <w:t>7.</w:t>
      </w:r>
      <w:r>
        <w:rPr>
          <w:rFonts w:ascii="David" w:hAnsi="David"/>
          <w:rtl/>
        </w:rPr>
        <w:tab/>
        <w:t>ביום 25.2.2022 מינה בית משפט קמא בהסכמת הצדדים, את הפסיכיאטר ד"ר אדם דרנל, כמומחה מטעם בית המשפט (להלן: "</w:t>
      </w:r>
      <w:r>
        <w:rPr>
          <w:rFonts w:ascii="David" w:hAnsi="David"/>
          <w:b/>
          <w:bCs/>
          <w:rtl/>
        </w:rPr>
        <w:t>המומחה</w:t>
      </w:r>
      <w:r>
        <w:rPr>
          <w:rFonts w:ascii="David" w:hAnsi="David"/>
          <w:rtl/>
        </w:rPr>
        <w:t>" או "</w:t>
      </w:r>
      <w:r>
        <w:rPr>
          <w:rFonts w:ascii="David" w:hAnsi="David"/>
          <w:b/>
          <w:bCs/>
          <w:rtl/>
        </w:rPr>
        <w:t>המומחה</w:t>
      </w:r>
      <w:r>
        <w:rPr>
          <w:rFonts w:ascii="David" w:hAnsi="David"/>
          <w:rtl/>
        </w:rPr>
        <w:t xml:space="preserve"> </w:t>
      </w:r>
      <w:r>
        <w:rPr>
          <w:rFonts w:ascii="David" w:hAnsi="David"/>
          <w:b/>
          <w:bCs/>
          <w:rtl/>
        </w:rPr>
        <w:t>דרנל</w:t>
      </w:r>
      <w:r>
        <w:rPr>
          <w:rFonts w:ascii="David" w:hAnsi="David"/>
          <w:rtl/>
        </w:rPr>
        <w:t>"), לחוות דעתו בשאלת כשרותה של המנוחה, הן קוגניטיבית והן נפשית, במועד חתימתה על הצוואה.</w:t>
      </w:r>
    </w:p>
    <w:p w:rsidR="00890CCC" w:rsidRDefault="00890CCC" w:rsidP="00890CCC">
      <w:pPr>
        <w:spacing w:after="120" w:line="360" w:lineRule="auto"/>
        <w:ind w:left="720" w:hanging="720"/>
        <w:jc w:val="both"/>
        <w:rPr>
          <w:rFonts w:ascii="David" w:hAnsi="David"/>
          <w:rtl/>
        </w:rPr>
      </w:pPr>
      <w:r>
        <w:rPr>
          <w:rFonts w:ascii="David" w:hAnsi="David"/>
          <w:rtl/>
        </w:rPr>
        <w:t>8.</w:t>
      </w:r>
      <w:r>
        <w:rPr>
          <w:rFonts w:ascii="David" w:hAnsi="David"/>
          <w:rtl/>
        </w:rPr>
        <w:tab/>
        <w:t xml:space="preserve">ביום 6.7.2022 הגיש המומחה דרנל את חוות דעתו נושאת תאריך 30.6.2022, שהתבססה על מסמכיה הרפואיים של המנוחה מהמוסדות בהם אושפזה. בחוות הדעת קבע המומחה את מסקנתו, לפיה המנוחה לא היתה כשירה לחתום על צוואה ביום 13.6.2016. </w:t>
      </w:r>
    </w:p>
    <w:p w:rsidR="00890CCC" w:rsidRDefault="00890CCC" w:rsidP="00890CCC">
      <w:pPr>
        <w:spacing w:after="120" w:line="360" w:lineRule="auto"/>
        <w:ind w:left="720" w:hanging="720"/>
        <w:jc w:val="both"/>
        <w:rPr>
          <w:rFonts w:ascii="David" w:hAnsi="David"/>
          <w:rtl/>
        </w:rPr>
      </w:pPr>
      <w:r>
        <w:rPr>
          <w:rFonts w:ascii="David" w:hAnsi="David"/>
          <w:rtl/>
        </w:rPr>
        <w:t>9.</w:t>
      </w:r>
      <w:r>
        <w:rPr>
          <w:rFonts w:ascii="David" w:hAnsi="David"/>
          <w:rtl/>
        </w:rPr>
        <w:tab/>
        <w:t>ביום 15.11.2022 הגיש המשיב את תצהירי העדות של עדי הצוואה, והתגלה דבר קיום הסרטון שנערך למנוחה כאמור לעיל. בדיון שנערך בתיק קמא ביום 15.1.2023, קבע בית משפט קמא בהסכמת הצדדים, כי הסרטון יועבר למומחה דרנל שיצפה בו, וישקול אם יש בו להשפיע על חוות דעתו. באותו דיון נחקרה ד"ר גופמן על תצהירה.</w:t>
      </w:r>
    </w:p>
    <w:p w:rsidR="00890CCC" w:rsidRDefault="00890CCC" w:rsidP="00890CCC">
      <w:pPr>
        <w:spacing w:after="120" w:line="360" w:lineRule="auto"/>
        <w:ind w:left="720" w:hanging="720"/>
        <w:jc w:val="both"/>
        <w:rPr>
          <w:rFonts w:ascii="David" w:hAnsi="David"/>
          <w:rtl/>
        </w:rPr>
      </w:pPr>
      <w:r>
        <w:rPr>
          <w:rFonts w:ascii="David" w:hAnsi="David"/>
          <w:rtl/>
        </w:rPr>
        <w:t>10.</w:t>
      </w:r>
      <w:r>
        <w:rPr>
          <w:rFonts w:ascii="David" w:hAnsi="David"/>
          <w:rtl/>
        </w:rPr>
        <w:tab/>
        <w:t>בחוות דעתו המשלימה (לאחר שצפה בסרטון), נושאת תאריך 23.3.2023, כתב המומחה דרנל כי לא מצא מקום לשנות את דעתו מחוות הדעת הקודמת, וכי הספקות שהובעו בחוות דעתו הקודמת שככו במידה רבה – בחוות דעתו המשלימה כתב כי "</w:t>
      </w:r>
      <w:r>
        <w:rPr>
          <w:rFonts w:ascii="David" w:hAnsi="David"/>
          <w:b/>
          <w:bCs/>
          <w:rtl/>
        </w:rPr>
        <w:t>כעת אין לי כמעט כל ספק שהמנוחה לא יכלה באותו יום לערוך צוואה... היא חסרה את היכולות הקוגניטיביות ואת שיקול הדעת לערוך צוואה</w:t>
      </w:r>
      <w:r>
        <w:rPr>
          <w:rFonts w:ascii="David" w:hAnsi="David"/>
          <w:rtl/>
        </w:rPr>
        <w:t xml:space="preserve">". </w:t>
      </w:r>
    </w:p>
    <w:p w:rsidR="00890CCC" w:rsidRDefault="00890CCC" w:rsidP="00890CCC">
      <w:pPr>
        <w:spacing w:after="120" w:line="360" w:lineRule="auto"/>
        <w:ind w:left="720" w:hanging="720"/>
        <w:jc w:val="both"/>
        <w:rPr>
          <w:rFonts w:ascii="David" w:hAnsi="David"/>
          <w:rtl/>
        </w:rPr>
      </w:pPr>
      <w:r>
        <w:rPr>
          <w:rFonts w:ascii="David" w:hAnsi="David"/>
          <w:rtl/>
        </w:rPr>
        <w:t>11.</w:t>
      </w:r>
      <w:r>
        <w:rPr>
          <w:rFonts w:ascii="David" w:hAnsi="David"/>
          <w:rtl/>
        </w:rPr>
        <w:tab/>
        <w:t xml:space="preserve">ביום 31.3.2023 הגישו המבקשות בקשה בתיק קמא, במסגרתה התבקש בית משפט קמא להחליט בעניין כשרות המנוחה לפני המשך הליך ההוכחות, וזאת לאחר שבית משפט קמא צפה בסרטון ולאור מסקנות המומחה דרנל בשתי חוות הדעת מטעמו. </w:t>
      </w:r>
    </w:p>
    <w:p w:rsidR="00672952" w:rsidRDefault="00672952" w:rsidP="00890CCC">
      <w:pPr>
        <w:spacing w:after="120" w:line="360" w:lineRule="auto"/>
        <w:ind w:left="720" w:hanging="720"/>
        <w:jc w:val="both"/>
        <w:rPr>
          <w:rFonts w:ascii="David" w:hAnsi="David"/>
          <w:rtl/>
        </w:rPr>
      </w:pPr>
    </w:p>
    <w:p w:rsidR="00672952" w:rsidRDefault="00672952" w:rsidP="00890CCC">
      <w:pPr>
        <w:spacing w:after="120" w:line="360" w:lineRule="auto"/>
        <w:ind w:left="720" w:hanging="720"/>
        <w:jc w:val="both"/>
        <w:rPr>
          <w:rFonts w:ascii="David" w:hAnsi="David"/>
          <w:rtl/>
        </w:rPr>
      </w:pPr>
    </w:p>
    <w:p w:rsidR="00890CCC" w:rsidRDefault="00890CCC" w:rsidP="00890CCC">
      <w:pPr>
        <w:spacing w:after="120" w:line="360" w:lineRule="auto"/>
        <w:ind w:left="720" w:hanging="720"/>
        <w:jc w:val="both"/>
        <w:rPr>
          <w:rFonts w:ascii="David" w:hAnsi="David"/>
          <w:rtl/>
        </w:rPr>
      </w:pPr>
      <w:r>
        <w:rPr>
          <w:rFonts w:ascii="David" w:hAnsi="David"/>
          <w:rtl/>
        </w:rPr>
        <w:lastRenderedPageBreak/>
        <w:tab/>
      </w:r>
      <w:r>
        <w:rPr>
          <w:rFonts w:ascii="David" w:hAnsi="David"/>
          <w:u w:val="single"/>
          <w:rtl/>
        </w:rPr>
        <w:t>בהחלטתו מיום 10.5.2023 דחה בית משפט קמא את הבקשה, בנמקו כדלקמן</w:t>
      </w:r>
      <w:r>
        <w:rPr>
          <w:rFonts w:ascii="David" w:hAnsi="David"/>
          <w:rtl/>
        </w:rPr>
        <w:t>:</w:t>
      </w:r>
    </w:p>
    <w:p w:rsidR="00890CCC" w:rsidRDefault="00890CCC" w:rsidP="00890CCC">
      <w:pPr>
        <w:spacing w:after="120" w:line="360" w:lineRule="auto"/>
        <w:ind w:left="1417" w:right="567" w:hanging="426"/>
        <w:jc w:val="both"/>
        <w:rPr>
          <w:rFonts w:ascii="David" w:hAnsi="David"/>
          <w:b/>
          <w:bCs/>
          <w:rtl/>
        </w:rPr>
      </w:pPr>
      <w:r>
        <w:rPr>
          <w:rFonts w:ascii="David" w:hAnsi="David"/>
          <w:b/>
          <w:bCs/>
          <w:rtl/>
        </w:rPr>
        <w:t>"3.</w:t>
      </w:r>
      <w:r>
        <w:rPr>
          <w:rFonts w:ascii="David" w:hAnsi="David"/>
          <w:b/>
          <w:bCs/>
          <w:rtl/>
        </w:rPr>
        <w:tab/>
        <w:t>המבקשות עותרות למתן פסק דין לאור תוצאות חוות הדעת. המשיב מתנגד, ומבקש לנהל את התיק.</w:t>
      </w:r>
    </w:p>
    <w:p w:rsidR="00890CCC" w:rsidRDefault="00890CCC" w:rsidP="00890CCC">
      <w:pPr>
        <w:spacing w:after="120" w:line="360" w:lineRule="auto"/>
        <w:ind w:left="1417" w:right="567" w:hanging="284"/>
        <w:jc w:val="both"/>
        <w:rPr>
          <w:rFonts w:ascii="David" w:hAnsi="David"/>
          <w:b/>
          <w:bCs/>
          <w:rtl/>
        </w:rPr>
      </w:pPr>
      <w:r>
        <w:rPr>
          <w:rFonts w:ascii="David" w:hAnsi="David"/>
          <w:b/>
          <w:bCs/>
          <w:rtl/>
        </w:rPr>
        <w:t>4.</w:t>
      </w:r>
      <w:r>
        <w:rPr>
          <w:rFonts w:ascii="David" w:hAnsi="David"/>
          <w:b/>
          <w:bCs/>
          <w:rtl/>
        </w:rPr>
        <w:tab/>
        <w:t>מובהר כי, בכל הכבוד למומחה, הרי שחוות דעתו אינה מהווה את ההכרעה בתיק, ושיקול הדעת מסור לבית המשפט על בסיס מכלול הראיות: נפסק כי חוות דעתו של מומחה מטעם בית המשפט אינה "בבחינת 'כזה ראה וקדש' אלא היא מהוה כלי עזר עבור בית המשפט בבואו להחליט בנושא שאינו בידיעתו השיפוטית" (שוחט ושאוה, בעמ' 291)", וכן: "ועוד: ההוראות החולשות על מינוי מומחים בבתי המשפט לענייני משפחה – המעניקות למומחה מטעם בית המשפט מעין בכירות, אם גם לא כזאת שאין אחריה ולא כלום כפי שציין בית המשפט המחוזי, והאחריות היא על בית המשפט – עולות בקנה אחד עם המגמה שעמדה ביסוד קביעתם של סדרי הדין בבתי משפט אלה, לפיה "רמת המעורבות של השופט חייבת להיות גבוהה ויכולת הנגישות שלו לחומר הראיות והזמנת העדים וחקירתם צריכה להיות בעלת היקף רחב" (דין וחשבון הועדה לבחינת יישום דיני המשפחה (תשמ"ז), בעמ' 28)" (בע"מ 5471/13 פלוני נ' פלוני ואח', 28.8.2013).</w:t>
      </w:r>
    </w:p>
    <w:p w:rsidR="00890CCC" w:rsidRDefault="00890CCC" w:rsidP="00890CCC">
      <w:pPr>
        <w:spacing w:after="120" w:line="360" w:lineRule="auto"/>
        <w:ind w:left="1417" w:right="567" w:hanging="284"/>
        <w:jc w:val="both"/>
        <w:rPr>
          <w:rFonts w:ascii="David" w:hAnsi="David"/>
          <w:b/>
          <w:bCs/>
          <w:rtl/>
        </w:rPr>
      </w:pPr>
      <w:r>
        <w:rPr>
          <w:rFonts w:ascii="David" w:hAnsi="David"/>
          <w:b/>
          <w:bCs/>
          <w:rtl/>
        </w:rPr>
        <w:t>5.</w:t>
      </w:r>
      <w:r>
        <w:rPr>
          <w:rFonts w:ascii="David" w:hAnsi="David"/>
          <w:b/>
          <w:bCs/>
          <w:rtl/>
        </w:rPr>
        <w:tab/>
        <w:t>אמת כי בדרך כלל, ובהעדר נימוקים מיוחדים, יכבד בית המשפט את מסקנות חוות דעת המומחה המקצועי, שמונה על ידו, אך אין זו חובה. בית המשפט ישקול את מכלול הראיות, שיובאו בפניו.</w:t>
      </w:r>
    </w:p>
    <w:p w:rsidR="00890CCC" w:rsidRDefault="00890CCC" w:rsidP="00890CCC">
      <w:pPr>
        <w:spacing w:after="120" w:line="360" w:lineRule="auto"/>
        <w:ind w:left="1842" w:right="1276" w:hanging="284"/>
        <w:jc w:val="both"/>
        <w:rPr>
          <w:rFonts w:ascii="David" w:hAnsi="David"/>
          <w:b/>
          <w:bCs/>
          <w:rtl/>
        </w:rPr>
      </w:pPr>
      <w:r>
        <w:rPr>
          <w:rFonts w:ascii="David" w:hAnsi="David"/>
          <w:b/>
          <w:bCs/>
          <w:rtl/>
        </w:rPr>
        <w:tab/>
        <w:t>'...מטבע הדברים, יינתן במסגרת הבחינה השיפוטית משקל רב ביותר לעמדתם של מומחים מקצועיים, הרי ההכרעה השיפוטית מתחת ידו של השופט היא יוצאת, לא מתחת ידו של המומחה המקצועי. כבכל תחום בו מתבקשת קבלת חוות דעת מומחה, אין בית המשפט משמש "חותמת גומי" לעמדת המומחה המקצועי, אין הוא רואה בה עובדה מוגמרת אלא המלצה אשר ככלל יש ליתן לה משקל רב ביותר, אך לא מכריע. האחריות בקבלת ההכרעה מוטלת אפוא כולה על כתפי בית המשפט ואין הוא חולק בנטל האחריות עם כל מומחה או מומחים מקצועיים, יהיו אלה רבים ככל שיהיו. לפיכך, משהונחה בפני בית המשפט חוות דעת מומחה, וגם אם תהא זו נחרצת, ברורה וחד משמעית, אין בית המשפט פטור מהפעלת שיקול דעת שיפוטי עצמאי בגיבוש הכרעתו...' (בע"מ 27/06 פלוני נ' פלוני, 1.5.2006).</w:t>
      </w:r>
    </w:p>
    <w:p w:rsidR="00890CCC" w:rsidRDefault="00890CCC" w:rsidP="00890CCC">
      <w:pPr>
        <w:spacing w:after="120" w:line="360" w:lineRule="auto"/>
        <w:ind w:left="1417" w:right="567" w:hanging="284"/>
        <w:jc w:val="both"/>
        <w:rPr>
          <w:rFonts w:ascii="David" w:hAnsi="David"/>
          <w:b/>
          <w:bCs/>
          <w:rtl/>
        </w:rPr>
      </w:pPr>
      <w:r>
        <w:rPr>
          <w:rFonts w:ascii="David" w:hAnsi="David"/>
          <w:b/>
          <w:bCs/>
          <w:rtl/>
        </w:rPr>
        <w:lastRenderedPageBreak/>
        <w:t>6.</w:t>
      </w:r>
      <w:r>
        <w:rPr>
          <w:rFonts w:ascii="David" w:hAnsi="David"/>
          <w:b/>
          <w:bCs/>
          <w:rtl/>
        </w:rPr>
        <w:tab/>
        <w:t>למיצוי ההליכים בקשר עם חוות הדעת המשלימה, אני מתירה לצדדים לשלוח למומחה שאלות הבהרה ביחס אליה בתוך 10 ימים, ויגישו לבית מהשפט את השאלות ואת התשובות.</w:t>
      </w:r>
    </w:p>
    <w:p w:rsidR="00890CCC" w:rsidRDefault="00890CCC" w:rsidP="00890CCC">
      <w:pPr>
        <w:spacing w:after="120" w:line="360" w:lineRule="auto"/>
        <w:ind w:left="1417" w:right="567" w:hanging="284"/>
        <w:jc w:val="both"/>
        <w:rPr>
          <w:rFonts w:ascii="David" w:hAnsi="David"/>
          <w:b/>
          <w:bCs/>
          <w:rtl/>
        </w:rPr>
      </w:pPr>
      <w:r>
        <w:rPr>
          <w:rFonts w:ascii="David" w:hAnsi="David"/>
          <w:b/>
          <w:bCs/>
          <w:rtl/>
        </w:rPr>
        <w:tab/>
        <w:t>..."</w:t>
      </w:r>
    </w:p>
    <w:p w:rsidR="00890CCC" w:rsidRDefault="00890CCC" w:rsidP="00890CCC">
      <w:pPr>
        <w:spacing w:after="120" w:line="360" w:lineRule="auto"/>
        <w:ind w:left="720" w:hanging="720"/>
        <w:jc w:val="both"/>
        <w:rPr>
          <w:rFonts w:ascii="David" w:hAnsi="David"/>
          <w:rtl/>
        </w:rPr>
      </w:pPr>
      <w:r>
        <w:rPr>
          <w:rFonts w:ascii="David" w:hAnsi="David"/>
          <w:rtl/>
        </w:rPr>
        <w:t>12.</w:t>
      </w:r>
      <w:r>
        <w:rPr>
          <w:rFonts w:ascii="David" w:hAnsi="David"/>
          <w:rtl/>
        </w:rPr>
        <w:tab/>
        <w:t>ביום 8.6.2023 הגישו המבקשות את בקשה 14, במסגרתה התבקש בית משפט קמא לקבוע, כי לאחר חקירת המומחה דרנל יתן החלטתו בעניין כשרות המנוחה לצוות, וכי לאחר מתן החלטתו זו ובמידת הצורך, יחליט על המשך הליך ההוכחות.</w:t>
      </w:r>
    </w:p>
    <w:p w:rsidR="00890CCC" w:rsidRDefault="00890CCC" w:rsidP="00890CCC">
      <w:pPr>
        <w:spacing w:after="120" w:line="360" w:lineRule="auto"/>
        <w:ind w:left="720" w:hanging="720"/>
        <w:jc w:val="both"/>
        <w:rPr>
          <w:rFonts w:ascii="David" w:hAnsi="David"/>
          <w:rtl/>
        </w:rPr>
      </w:pPr>
      <w:r>
        <w:rPr>
          <w:rFonts w:ascii="David" w:hAnsi="David"/>
          <w:rtl/>
        </w:rPr>
        <w:tab/>
        <w:t>המשיב התנגד לבקשה 14, וביום 5.10.2023 הכריע בית משפט קמא בבקשה וקבע כי החלטה בדבר אופן ניהול התיק תינתן לאחר הדיון הקבוע לחקירת המומחה דרנל.</w:t>
      </w:r>
    </w:p>
    <w:p w:rsidR="00890CCC" w:rsidRDefault="00890CCC" w:rsidP="00890CCC">
      <w:pPr>
        <w:spacing w:after="120" w:line="360" w:lineRule="auto"/>
        <w:ind w:left="720" w:hanging="720"/>
        <w:jc w:val="both"/>
        <w:rPr>
          <w:rFonts w:ascii="David" w:hAnsi="David"/>
          <w:rtl/>
        </w:rPr>
      </w:pPr>
      <w:r>
        <w:rPr>
          <w:rFonts w:ascii="David" w:hAnsi="David"/>
          <w:rtl/>
        </w:rPr>
        <w:t>13.</w:t>
      </w:r>
      <w:r>
        <w:rPr>
          <w:rFonts w:ascii="David" w:hAnsi="David"/>
          <w:rtl/>
        </w:rPr>
        <w:tab/>
        <w:t xml:space="preserve">המומחה דרנל נחקר בדיון מיום 30.5.2024. בתום החקירה, חזרו המבקשות וביקשו כי בית המשפט יכריע בעניין כשרות המנוחה לערוך את הצוואה. </w:t>
      </w:r>
    </w:p>
    <w:p w:rsidR="00890CCC" w:rsidRDefault="00890CCC" w:rsidP="00890CCC">
      <w:pPr>
        <w:spacing w:after="120" w:line="360" w:lineRule="auto"/>
        <w:ind w:left="720" w:hanging="720"/>
        <w:jc w:val="both"/>
        <w:rPr>
          <w:rFonts w:ascii="Arial" w:hAnsi="Arial"/>
          <w:noProof w:val="0"/>
          <w:rtl/>
        </w:rPr>
      </w:pPr>
      <w:r>
        <w:rPr>
          <w:rFonts w:ascii="Arial" w:hAnsi="Arial"/>
          <w:noProof w:val="0"/>
          <w:rtl/>
        </w:rPr>
        <w:t>14.</w:t>
      </w:r>
      <w:r>
        <w:rPr>
          <w:rFonts w:ascii="Arial" w:hAnsi="Arial"/>
          <w:noProof w:val="0"/>
          <w:rtl/>
        </w:rPr>
        <w:tab/>
      </w:r>
      <w:r>
        <w:rPr>
          <w:rFonts w:ascii="Arial" w:hAnsi="Arial"/>
          <w:noProof w:val="0"/>
          <w:u w:val="single"/>
          <w:rtl/>
        </w:rPr>
        <w:t>ההחלטה קמא, נשוא בקשת רשות הערעור דנן, ניתנה על ידי בית משפט קמא במהלך הדיון הנ"ל, כדלקמן</w:t>
      </w:r>
      <w:r>
        <w:rPr>
          <w:rFonts w:ascii="Arial" w:hAnsi="Arial"/>
          <w:noProof w:val="0"/>
          <w:rtl/>
        </w:rPr>
        <w:t>:</w:t>
      </w:r>
    </w:p>
    <w:p w:rsidR="00890CCC" w:rsidRDefault="00890CCC" w:rsidP="00890CCC">
      <w:pPr>
        <w:spacing w:after="120" w:line="360" w:lineRule="auto"/>
        <w:ind w:left="1134" w:right="851" w:hanging="720"/>
        <w:jc w:val="both"/>
        <w:rPr>
          <w:rFonts w:ascii="Arial" w:hAnsi="Arial"/>
          <w:b/>
          <w:bCs/>
          <w:noProof w:val="0"/>
        </w:rPr>
      </w:pPr>
      <w:r>
        <w:rPr>
          <w:rFonts w:ascii="Arial" w:hAnsi="Arial"/>
          <w:noProof w:val="0"/>
          <w:rtl/>
        </w:rPr>
        <w:tab/>
      </w:r>
      <w:r>
        <w:rPr>
          <w:rFonts w:ascii="Arial" w:hAnsi="Arial"/>
          <w:b/>
          <w:bCs/>
          <w:noProof w:val="0"/>
          <w:rtl/>
        </w:rPr>
        <w:t>"לאחר ששמעתי היום את חקירת המומחה לא השתנתה דעתי מההחלטה מיום 10/5/23.</w:t>
      </w:r>
    </w:p>
    <w:p w:rsidR="00890CCC" w:rsidRDefault="00890CCC" w:rsidP="00890CCC">
      <w:pPr>
        <w:spacing w:after="120" w:line="360" w:lineRule="auto"/>
        <w:ind w:left="1134" w:right="851" w:hanging="720"/>
        <w:jc w:val="both"/>
        <w:rPr>
          <w:rFonts w:ascii="Arial" w:hAnsi="Arial"/>
          <w:b/>
          <w:bCs/>
          <w:noProof w:val="0"/>
          <w:rtl/>
        </w:rPr>
      </w:pPr>
      <w:r>
        <w:rPr>
          <w:rFonts w:ascii="Arial" w:hAnsi="Arial"/>
          <w:b/>
          <w:bCs/>
          <w:noProof w:val="0"/>
          <w:rtl/>
        </w:rPr>
        <w:tab/>
        <w:t>כאמור נשמעה גם הרופאה שנכחה בעת חתימת הצוואה, ויש עדים נוספים שנכחו, כגון אמו של התובע שהגישה תצהיר.</w:t>
      </w:r>
    </w:p>
    <w:p w:rsidR="00890CCC" w:rsidRDefault="00890CCC" w:rsidP="00890CCC">
      <w:pPr>
        <w:spacing w:after="120" w:line="360" w:lineRule="auto"/>
        <w:ind w:left="1134" w:right="851" w:hanging="720"/>
        <w:jc w:val="both"/>
        <w:rPr>
          <w:rFonts w:ascii="Arial" w:hAnsi="Arial"/>
          <w:b/>
          <w:bCs/>
          <w:noProof w:val="0"/>
          <w:rtl/>
        </w:rPr>
      </w:pPr>
      <w:r>
        <w:rPr>
          <w:rFonts w:ascii="Arial" w:hAnsi="Arial"/>
          <w:b/>
          <w:bCs/>
          <w:noProof w:val="0"/>
          <w:rtl/>
        </w:rPr>
        <w:tab/>
        <w:t>הצעתי לצדדים להגיע להסכמה דיונית בעניין אופן ניהול התיק ונראה לי כי בהעדר הסכמה אחרת אין מנוס מקיום דיון הוכחות.</w:t>
      </w:r>
      <w:r>
        <w:rPr>
          <w:rFonts w:ascii="Arial" w:hAnsi="Arial"/>
          <w:b/>
          <w:bCs/>
          <w:noProof w:val="0"/>
          <w:rtl/>
        </w:rPr>
        <w:t> </w:t>
      </w:r>
    </w:p>
    <w:p w:rsidR="00890CCC" w:rsidRDefault="00890CCC" w:rsidP="00890CCC">
      <w:pPr>
        <w:spacing w:after="120" w:line="360" w:lineRule="auto"/>
        <w:ind w:left="1134" w:right="851" w:hanging="720"/>
        <w:jc w:val="both"/>
        <w:rPr>
          <w:rFonts w:ascii="Arial" w:hAnsi="Arial"/>
          <w:b/>
          <w:bCs/>
          <w:noProof w:val="0"/>
          <w:rtl/>
        </w:rPr>
      </w:pPr>
      <w:r>
        <w:rPr>
          <w:rFonts w:ascii="Arial" w:hAnsi="Arial"/>
          <w:b/>
          <w:bCs/>
          <w:noProof w:val="0"/>
          <w:rtl/>
        </w:rPr>
        <w:tab/>
        <w:t>תיערך הפסקה קצרה בהקלטה על מנת שב"כ הצדדים ידברו ביניהם לעניין המסגרת הדיונית כפי שביקשתי בעבר, אך נראה כי הדבר לא נעשה עקב הדחיות הרבות והמתנה לחקירת המומחה".</w:t>
      </w:r>
    </w:p>
    <w:p w:rsidR="00890CCC" w:rsidRDefault="00890CCC" w:rsidP="00890CCC">
      <w:pPr>
        <w:spacing w:after="120" w:line="360" w:lineRule="auto"/>
        <w:ind w:left="720" w:hanging="720"/>
        <w:jc w:val="both"/>
        <w:rPr>
          <w:rFonts w:ascii="Arial" w:hAnsi="Arial"/>
          <w:noProof w:val="0"/>
          <w:rtl/>
        </w:rPr>
      </w:pPr>
      <w:r>
        <w:rPr>
          <w:rFonts w:ascii="Arial" w:hAnsi="Arial"/>
          <w:noProof w:val="0"/>
          <w:rtl/>
        </w:rPr>
        <w:tab/>
      </w:r>
    </w:p>
    <w:p w:rsidR="00890CCC" w:rsidRDefault="00890CCC" w:rsidP="00890CCC">
      <w:pPr>
        <w:spacing w:after="120" w:line="360" w:lineRule="auto"/>
        <w:ind w:right="567"/>
        <w:jc w:val="both"/>
        <w:rPr>
          <w:rFonts w:ascii="Arial" w:hAnsi="Arial"/>
          <w:b/>
          <w:bCs/>
          <w:noProof w:val="0"/>
          <w:u w:val="single"/>
          <w:rtl/>
        </w:rPr>
      </w:pPr>
      <w:r>
        <w:rPr>
          <w:rFonts w:ascii="Arial" w:hAnsi="Arial"/>
          <w:b/>
          <w:bCs/>
          <w:noProof w:val="0"/>
          <w:u w:val="single"/>
          <w:rtl/>
        </w:rPr>
        <w:t>תמצית טענות המבקשות בבקשת רשות הערעור</w:t>
      </w:r>
    </w:p>
    <w:p w:rsidR="00890CCC" w:rsidRDefault="00890CCC" w:rsidP="00890CCC">
      <w:pPr>
        <w:spacing w:after="120" w:line="360" w:lineRule="auto"/>
        <w:ind w:right="567"/>
        <w:jc w:val="both"/>
        <w:rPr>
          <w:rFonts w:ascii="Arial" w:hAnsi="Arial"/>
          <w:noProof w:val="0"/>
          <w:rtl/>
        </w:rPr>
      </w:pPr>
      <w:r>
        <w:rPr>
          <w:rFonts w:ascii="Arial" w:hAnsi="Arial"/>
          <w:noProof w:val="0"/>
          <w:rtl/>
        </w:rPr>
        <w:t>15.</w:t>
      </w:r>
      <w:r>
        <w:rPr>
          <w:rFonts w:ascii="Arial" w:hAnsi="Arial"/>
          <w:noProof w:val="0"/>
          <w:rtl/>
        </w:rPr>
        <w:tab/>
      </w:r>
      <w:r>
        <w:rPr>
          <w:rFonts w:ascii="Arial" w:hAnsi="Arial"/>
          <w:noProof w:val="0"/>
          <w:u w:val="single"/>
          <w:rtl/>
        </w:rPr>
        <w:t>טענות המבקשות בבקשתן, בתמצית, הן כדלקמן</w:t>
      </w:r>
      <w:r>
        <w:rPr>
          <w:rFonts w:ascii="Arial" w:hAnsi="Arial"/>
          <w:noProof w:val="0"/>
        </w:rPr>
        <w:t>:</w:t>
      </w:r>
      <w:r>
        <w:rPr>
          <w:rFonts w:ascii="Arial" w:hAnsi="Arial"/>
          <w:noProof w:val="0"/>
          <w:rtl/>
        </w:rPr>
        <w:t xml:space="preserve"> </w:t>
      </w:r>
    </w:p>
    <w:p w:rsidR="00890CCC" w:rsidRDefault="00890CCC" w:rsidP="00890CCC">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t xml:space="preserve">שגה בית משפט קמא עת קבע את התיק קמא להמשך הוכחות, במקום להכריע תחילה בכשרות המנוחה ותוקף הצוואה שבמחלוקת. כשרות המצווה היא תנאי בסיסי והכרחי לתוקף הצוואה, ואין לעדים האחרים, חסרי רקע ברפואה ובעלי אינטרס מובהק, כל רלוונטיות להכרעה בסוגיית כשרות המנוחה. </w:t>
      </w:r>
    </w:p>
    <w:p w:rsidR="00890CCC" w:rsidRDefault="00890CCC" w:rsidP="00890CCC">
      <w:pPr>
        <w:spacing w:after="120" w:line="360" w:lineRule="auto"/>
        <w:ind w:left="1440" w:hanging="720"/>
        <w:jc w:val="both"/>
        <w:rPr>
          <w:rFonts w:ascii="Arial" w:hAnsi="Arial"/>
          <w:noProof w:val="0"/>
          <w:rtl/>
        </w:rPr>
      </w:pPr>
      <w:r>
        <w:rPr>
          <w:rFonts w:ascii="Arial" w:hAnsi="Arial"/>
          <w:noProof w:val="0"/>
          <w:rtl/>
        </w:rPr>
        <w:lastRenderedPageBreak/>
        <w:t>ב.</w:t>
      </w:r>
      <w:r>
        <w:rPr>
          <w:rFonts w:ascii="Arial" w:hAnsi="Arial"/>
          <w:noProof w:val="0"/>
          <w:rtl/>
        </w:rPr>
        <w:tab/>
        <w:t>נוסף על טענת המבקשות לפיה המנוחה לא היתה כשרה לחתום על הצוואה, הרי שהצוואה שבמחלוקת פגומה על פניה – מהסרטון ניתן להבחין בבירור כי הצוואה נעשתה שעה שהמנוחה לא ידעה להבחין בטיבה של צוואה, כמו כן אישור העדים בצוואה אינו אמת. לכן דין הצוואה להיפסל אף מטעמים אלה.</w:t>
      </w:r>
    </w:p>
    <w:p w:rsidR="00890CCC" w:rsidRDefault="00890CCC" w:rsidP="00890CCC">
      <w:pPr>
        <w:spacing w:after="120" w:line="360" w:lineRule="auto"/>
        <w:ind w:left="1440" w:hanging="720"/>
        <w:jc w:val="both"/>
        <w:rPr>
          <w:rFonts w:ascii="Arial" w:hAnsi="Arial"/>
          <w:noProof w:val="0"/>
          <w:rtl/>
        </w:rPr>
      </w:pPr>
      <w:r>
        <w:rPr>
          <w:rFonts w:ascii="Arial" w:hAnsi="Arial"/>
          <w:noProof w:val="0"/>
          <w:rtl/>
        </w:rPr>
        <w:t>ג.</w:t>
      </w:r>
      <w:r>
        <w:rPr>
          <w:rFonts w:ascii="Arial" w:hAnsi="Arial"/>
          <w:noProof w:val="0"/>
          <w:rtl/>
        </w:rPr>
        <w:tab/>
        <w:t>אכן לבית משפט נתון שיקול דעת סופי לעניין כשרות המנוחה לערוך הצוואה, אלא שבמקרה דנן היה עליו להפעילו  ולהכריע בנדון לפני שקבע התיק קמא להמשך הוכחות. בהתאם להלכה הפסוקה, למומחה מטעם בית המשפט נתונה מעין בכירות, ובהעדר נימוקים מיוחדים, בית המשפט יאמץ את חוות דעת המומחה שמונה על ידו. במקרה דנן המומחה דרנל קבע נחרצות, פעמיים, כי המנוחה לא היתה כשרה לערוך את הצוואה, ומשלא הונחו בפני בית משפט קמא טעמים מיוחדים, עליו לאמץ את חוות דעת המומחה – ולהורות על פסלות הצוואה.</w:t>
      </w:r>
    </w:p>
    <w:p w:rsidR="00890CCC" w:rsidRDefault="00890CCC" w:rsidP="00890CCC">
      <w:pPr>
        <w:spacing w:after="120" w:line="360" w:lineRule="auto"/>
        <w:ind w:left="1440" w:hanging="720"/>
        <w:jc w:val="both"/>
        <w:rPr>
          <w:rFonts w:ascii="Arial" w:hAnsi="Arial"/>
          <w:noProof w:val="0"/>
          <w:rtl/>
        </w:rPr>
      </w:pPr>
    </w:p>
    <w:p w:rsidR="00890CCC" w:rsidRDefault="00890CCC" w:rsidP="00890CCC">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890CCC" w:rsidRDefault="00890CCC" w:rsidP="00890CCC">
      <w:pPr>
        <w:spacing w:after="120" w:line="360" w:lineRule="auto"/>
        <w:ind w:left="720" w:hanging="720"/>
        <w:jc w:val="both"/>
        <w:rPr>
          <w:rFonts w:ascii="Arial" w:hAnsi="Arial"/>
          <w:b/>
          <w:bCs/>
          <w:noProof w:val="0"/>
          <w:rtl/>
        </w:rPr>
      </w:pPr>
      <w:r>
        <w:rPr>
          <w:rFonts w:ascii="Arial" w:hAnsi="Arial"/>
          <w:noProof w:val="0"/>
          <w:rtl/>
        </w:rPr>
        <w:t>16.</w:t>
      </w:r>
      <w:r>
        <w:rPr>
          <w:rFonts w:ascii="Arial" w:hAnsi="Arial"/>
          <w:noProof w:val="0"/>
          <w:rtl/>
        </w:rPr>
        <w:tab/>
      </w:r>
      <w:r>
        <w:rPr>
          <w:rFonts w:ascii="Arial" w:hAnsi="Arial"/>
          <w:b/>
          <w:bCs/>
          <w:noProof w:val="0"/>
          <w:rtl/>
        </w:rPr>
        <w:t xml:space="preserve">לאחר עיון בבקשת רשות הערעור על נספחיה ובתיק קמא, שוכנעתי לדחות את בקשת רשות הערעור אף ללא צורך בתשובה, וזאת מכח סמכותי על פי תקנות 138(א)(1)+ (5) לתקנות סדר הדין האזרחי, תשע"ט-2018. </w:t>
      </w:r>
      <w:r>
        <w:rPr>
          <w:rFonts w:ascii="Arial" w:hAnsi="Arial"/>
          <w:noProof w:val="0"/>
          <w:rtl/>
        </w:rPr>
        <w:t>להלן אפרט את נימוקיי.</w:t>
      </w:r>
    </w:p>
    <w:p w:rsidR="00890CCC" w:rsidRDefault="00890CCC" w:rsidP="00890CCC">
      <w:pPr>
        <w:spacing w:after="120" w:line="360" w:lineRule="auto"/>
        <w:ind w:left="720" w:hanging="720"/>
        <w:jc w:val="both"/>
        <w:rPr>
          <w:rFonts w:ascii="Arial" w:hAnsi="Arial"/>
          <w:noProof w:val="0"/>
          <w:rtl/>
        </w:rPr>
      </w:pPr>
      <w:r>
        <w:rPr>
          <w:rFonts w:ascii="Arial" w:hAnsi="Arial"/>
          <w:noProof w:val="0"/>
          <w:rtl/>
        </w:rPr>
        <w:t>17.</w:t>
      </w:r>
      <w:r>
        <w:rPr>
          <w:rFonts w:ascii="Arial" w:hAnsi="Arial"/>
          <w:noProof w:val="0"/>
          <w:rtl/>
        </w:rPr>
        <w:tab/>
        <w:t xml:space="preserve">לטעמי, את ההחלטה קמא יש לקרוא יחד עם ההחלטה מיום 10.5.2023 (המובאת בסעיף 11 לעיל), ובית משפט קמא אף הפנה בריישת ההחלטה קמא להחלטה הנ"ל, שהינה מנומקת ומפורטת, ומסבירה את הטעמים לדחיית בקשת המבקשות ליתן הכרעה בדבר כשרות המנוחה לצוות, כבר בשלב זה של ההליך קמא, טרם שמיעת מלוא הראיות. </w:t>
      </w:r>
    </w:p>
    <w:p w:rsidR="00890CCC" w:rsidRDefault="00890CCC" w:rsidP="00890CCC">
      <w:pPr>
        <w:spacing w:after="120" w:line="360" w:lineRule="auto"/>
        <w:ind w:left="720" w:hanging="720"/>
        <w:jc w:val="both"/>
        <w:rPr>
          <w:rFonts w:ascii="Arial" w:hAnsi="Arial"/>
          <w:noProof w:val="0"/>
          <w:rtl/>
        </w:rPr>
      </w:pPr>
      <w:r>
        <w:rPr>
          <w:rFonts w:ascii="Arial" w:hAnsi="Arial"/>
          <w:noProof w:val="0"/>
          <w:rtl/>
        </w:rPr>
        <w:tab/>
      </w:r>
      <w:r>
        <w:rPr>
          <w:rFonts w:ascii="Arial" w:hAnsi="Arial"/>
          <w:b/>
          <w:bCs/>
          <w:noProof w:val="0"/>
          <w:rtl/>
        </w:rPr>
        <w:t>במצב דברים זה לא מצאתי טעות שתחייב את התערבות ערכאת הערעור בהחלטה קמא</w:t>
      </w:r>
      <w:r>
        <w:rPr>
          <w:rFonts w:ascii="Arial" w:hAnsi="Arial"/>
          <w:noProof w:val="0"/>
          <w:rtl/>
        </w:rPr>
        <w:t>.</w:t>
      </w:r>
    </w:p>
    <w:p w:rsidR="00890CCC" w:rsidRDefault="00890CCC" w:rsidP="00890CCC">
      <w:pPr>
        <w:spacing w:after="120" w:line="360" w:lineRule="auto"/>
        <w:ind w:left="720" w:hanging="720"/>
        <w:jc w:val="both"/>
        <w:rPr>
          <w:rFonts w:ascii="Arial" w:hAnsi="Arial"/>
          <w:noProof w:val="0"/>
          <w:rtl/>
        </w:rPr>
      </w:pPr>
      <w:r>
        <w:rPr>
          <w:rFonts w:ascii="Arial" w:hAnsi="Arial"/>
          <w:noProof w:val="0"/>
          <w:rtl/>
        </w:rPr>
        <w:tab/>
        <w:t xml:space="preserve">ודוק – ההחלטה קמא היא בגדר </w:t>
      </w:r>
      <w:r>
        <w:rPr>
          <w:rFonts w:ascii="Arial" w:hAnsi="Arial"/>
          <w:b/>
          <w:bCs/>
          <w:noProof w:val="0"/>
          <w:rtl/>
        </w:rPr>
        <w:t>החלטה דיונית מובהקת</w:t>
      </w:r>
      <w:r>
        <w:rPr>
          <w:rFonts w:ascii="Arial" w:hAnsi="Arial"/>
          <w:noProof w:val="0"/>
          <w:rtl/>
        </w:rPr>
        <w:t xml:space="preserve"> אשר תוצאתה היא המשך ניהול ההוכחות בהליך קמא ושמיעת עדים נוספים, הן מטעם התביעה והן מטעם ההגנה. החלטה מעין זו מצויה בליבת שיקול דעתה של הערכאה הדיונית, ובה ערכאת הערעור ממעטת להתערב, אלא במקרים חריגים, ומקרנו אינו כזה. </w:t>
      </w:r>
    </w:p>
    <w:p w:rsidR="00890CCC" w:rsidRDefault="00890CCC" w:rsidP="00890CCC">
      <w:pPr>
        <w:spacing w:after="120" w:line="360" w:lineRule="auto"/>
        <w:ind w:left="720" w:hanging="720"/>
        <w:jc w:val="both"/>
        <w:rPr>
          <w:rFonts w:ascii="Arial" w:hAnsi="Arial"/>
          <w:noProof w:val="0"/>
          <w:rtl/>
        </w:rPr>
      </w:pPr>
      <w:r>
        <w:rPr>
          <w:rFonts w:ascii="Arial" w:hAnsi="Arial"/>
          <w:noProof w:val="0"/>
          <w:rtl/>
        </w:rPr>
        <w:tab/>
      </w:r>
      <w:r>
        <w:rPr>
          <w:rFonts w:ascii="Arial" w:hAnsi="Arial"/>
          <w:noProof w:val="0"/>
          <w:u w:val="single"/>
          <w:rtl/>
        </w:rPr>
        <w:t>ראו לעניין זה</w:t>
      </w:r>
      <w:r>
        <w:rPr>
          <w:rFonts w:ascii="Arial" w:hAnsi="Arial"/>
          <w:noProof w:val="0"/>
          <w:rtl/>
        </w:rPr>
        <w:t>:</w:t>
      </w:r>
    </w:p>
    <w:p w:rsidR="00890CCC" w:rsidRDefault="00890CCC" w:rsidP="00890CCC">
      <w:pPr>
        <w:spacing w:after="120" w:line="360" w:lineRule="auto"/>
        <w:ind w:left="720" w:hanging="720"/>
        <w:jc w:val="both"/>
        <w:rPr>
          <w:rFonts w:ascii="Arial" w:hAnsi="Arial"/>
          <w:noProof w:val="0"/>
          <w:rtl/>
        </w:rPr>
      </w:pPr>
      <w:r>
        <w:rPr>
          <w:rFonts w:ascii="Arial" w:hAnsi="Arial"/>
          <w:noProof w:val="0"/>
          <w:rtl/>
        </w:rPr>
        <w:tab/>
        <w:t>רע"א 1664/20 ‏</w:t>
      </w:r>
      <w:r>
        <w:rPr>
          <w:rFonts w:ascii="Arial" w:hAnsi="Arial"/>
          <w:b/>
          <w:bCs/>
          <w:noProof w:val="0"/>
          <w:rtl/>
        </w:rPr>
        <w:t>פנינת עוזיאל בע"מ נ' נדב לב</w:t>
      </w:r>
      <w:r>
        <w:rPr>
          <w:rFonts w:ascii="Arial" w:hAnsi="Arial"/>
          <w:noProof w:val="0"/>
          <w:rtl/>
        </w:rPr>
        <w:t xml:space="preserve"> (8.7.2020), פסקה 16;</w:t>
      </w:r>
    </w:p>
    <w:p w:rsidR="00890CCC" w:rsidRDefault="00890CCC" w:rsidP="00890CCC">
      <w:pPr>
        <w:spacing w:after="120" w:line="360" w:lineRule="auto"/>
        <w:ind w:left="720" w:hanging="720"/>
        <w:jc w:val="both"/>
        <w:rPr>
          <w:rFonts w:ascii="Arial" w:hAnsi="Arial"/>
          <w:noProof w:val="0"/>
          <w:rtl/>
        </w:rPr>
      </w:pPr>
      <w:r>
        <w:rPr>
          <w:rFonts w:ascii="Arial" w:hAnsi="Arial"/>
          <w:noProof w:val="0"/>
          <w:rtl/>
        </w:rPr>
        <w:tab/>
        <w:t>רע"א 8076/16 ‏</w:t>
      </w:r>
      <w:r>
        <w:rPr>
          <w:rFonts w:ascii="Arial" w:hAnsi="Arial"/>
          <w:b/>
          <w:bCs/>
          <w:noProof w:val="0"/>
          <w:rtl/>
        </w:rPr>
        <w:t>יוסף בטאט נ' דיור ב.פ בע"מ</w:t>
      </w:r>
      <w:r>
        <w:rPr>
          <w:rFonts w:ascii="Arial" w:hAnsi="Arial"/>
          <w:noProof w:val="0"/>
          <w:rtl/>
        </w:rPr>
        <w:t xml:space="preserve"> (5.2.2017), פסקה ח'.</w:t>
      </w:r>
      <w:r>
        <w:rPr>
          <w:rFonts w:ascii="Arial" w:hAnsi="Arial"/>
          <w:noProof w:val="0"/>
          <w:rtl/>
        </w:rPr>
        <w:tab/>
      </w:r>
    </w:p>
    <w:p w:rsidR="00890CCC" w:rsidRDefault="00890CCC" w:rsidP="005E090D">
      <w:pPr>
        <w:spacing w:after="120" w:line="360" w:lineRule="auto"/>
        <w:ind w:left="720" w:hanging="720"/>
        <w:jc w:val="both"/>
        <w:rPr>
          <w:rFonts w:ascii="Arial" w:hAnsi="Arial"/>
          <w:noProof w:val="0"/>
          <w:rtl/>
        </w:rPr>
      </w:pPr>
      <w:r>
        <w:rPr>
          <w:rFonts w:ascii="Arial" w:hAnsi="Arial"/>
          <w:noProof w:val="0"/>
          <w:rtl/>
        </w:rPr>
        <w:t>18.</w:t>
      </w:r>
      <w:r>
        <w:rPr>
          <w:rFonts w:ascii="Arial" w:hAnsi="Arial"/>
          <w:noProof w:val="0"/>
          <w:rtl/>
        </w:rPr>
        <w:tab/>
      </w:r>
      <w:r>
        <w:rPr>
          <w:rFonts w:ascii="Arial" w:hAnsi="Arial"/>
          <w:b/>
          <w:bCs/>
          <w:noProof w:val="0"/>
          <w:rtl/>
        </w:rPr>
        <w:t>מעבר לכך, לא מצאתי כי נפל פגם לגופה של החלטת בית משפט קמא, ואף מטעם זה לא מצאתי להתערב בהחלטה קמא.</w:t>
      </w:r>
      <w:r>
        <w:rPr>
          <w:rFonts w:ascii="Arial" w:hAnsi="Arial"/>
          <w:noProof w:val="0"/>
          <w:rtl/>
        </w:rPr>
        <w:t xml:space="preserve"> </w:t>
      </w:r>
    </w:p>
    <w:p w:rsidR="00890CCC" w:rsidRDefault="00890CCC" w:rsidP="00890CCC">
      <w:pPr>
        <w:spacing w:after="120" w:line="360" w:lineRule="auto"/>
        <w:ind w:left="720"/>
        <w:jc w:val="both"/>
        <w:rPr>
          <w:rFonts w:ascii="Arial" w:hAnsi="Arial"/>
          <w:noProof w:val="0"/>
          <w:rtl/>
        </w:rPr>
      </w:pPr>
      <w:r>
        <w:rPr>
          <w:rFonts w:ascii="Arial" w:hAnsi="Arial"/>
          <w:noProof w:val="0"/>
          <w:rtl/>
        </w:rPr>
        <w:lastRenderedPageBreak/>
        <w:t>סבורני כי המבקשות כאן מקדימות את המאוחר בכל הקשור לסדרי שמיעת הראיות בהליך משפטי; שומה על בית המשפט לשמוע את מכלול העדים והראיות שיובאו בפניו בטרם יגיע להכרעה סופית. הוראה זו נכונה הן לגבי עדי התביעה וביתר שאת לגבי עדי ההגנה. רק לאחר שמארג הראיות השלם ייפרש בפני בית המשפט, יוכל הוא ליתן הכרעתו באופן שלם ומלא.</w:t>
      </w:r>
    </w:p>
    <w:p w:rsidR="00890CCC" w:rsidRDefault="00890CCC" w:rsidP="00890CCC">
      <w:pPr>
        <w:spacing w:after="120" w:line="360" w:lineRule="auto"/>
        <w:ind w:left="720" w:hanging="720"/>
        <w:jc w:val="both"/>
        <w:rPr>
          <w:rFonts w:ascii="Arial" w:hAnsi="Arial"/>
          <w:noProof w:val="0"/>
          <w:rtl/>
        </w:rPr>
      </w:pPr>
      <w:r>
        <w:rPr>
          <w:rFonts w:ascii="Arial" w:hAnsi="Arial"/>
          <w:noProof w:val="0"/>
          <w:rtl/>
        </w:rPr>
        <w:t>19.</w:t>
      </w:r>
      <w:r>
        <w:rPr>
          <w:rFonts w:ascii="Arial" w:hAnsi="Arial"/>
          <w:noProof w:val="0"/>
          <w:rtl/>
        </w:rPr>
        <w:tab/>
        <w:t xml:space="preserve">אכן לחוות דעתו של מומחה מטעם בית המשפט שמור מעמד מיוחד, אולם חוות דעת זו איננה חזות הכל אלא מהווה מרכיב בחומר הראיות, ובית משפט קמא יכול לא לשעות לה, או לבור חלקים ממנה, הכל תלוי נסיבות. </w:t>
      </w:r>
    </w:p>
    <w:p w:rsidR="00890CCC" w:rsidRDefault="00890CCC" w:rsidP="00890CCC">
      <w:pPr>
        <w:spacing w:after="120" w:line="360" w:lineRule="auto"/>
        <w:ind w:left="720" w:hanging="720"/>
        <w:jc w:val="both"/>
        <w:rPr>
          <w:rFonts w:ascii="Arial" w:hAnsi="Arial"/>
          <w:noProof w:val="0"/>
          <w:rtl/>
        </w:rPr>
      </w:pPr>
      <w:r>
        <w:rPr>
          <w:rFonts w:ascii="Arial" w:hAnsi="Arial"/>
          <w:noProof w:val="0"/>
          <w:rtl/>
        </w:rPr>
        <w:tab/>
        <w:t xml:space="preserve">בהינתן כל זאת אל למבקשות לסבור </w:t>
      </w:r>
      <w:r>
        <w:rPr>
          <w:rFonts w:ascii="Arial" w:hAnsi="Arial"/>
          <w:noProof w:val="0"/>
          <w:u w:val="single"/>
          <w:rtl/>
        </w:rPr>
        <w:t>כבר כעת</w:t>
      </w:r>
      <w:r>
        <w:rPr>
          <w:rFonts w:ascii="Arial" w:hAnsi="Arial"/>
          <w:noProof w:val="0"/>
          <w:rtl/>
        </w:rPr>
        <w:t>, כי לבית משפט קמא לא עמדו טעמים מיוחדים שמונעים ממנו לאמץ את חוות דעת המומחה, כטענתן (סעיף 34 לכתב רשות הערעור). סבורני כי קביעה מעין זו, יכולה להיקבע רק לאחר שמארג הראיות כולו יובא וייפרש בפני בית המשפט קמא, כדברינו לעיל.</w:t>
      </w:r>
    </w:p>
    <w:p w:rsidR="00890CCC" w:rsidRDefault="00890CCC" w:rsidP="00890CCC">
      <w:pPr>
        <w:spacing w:after="120" w:line="360" w:lineRule="auto"/>
        <w:ind w:left="720" w:hanging="720"/>
        <w:jc w:val="both"/>
        <w:rPr>
          <w:rFonts w:ascii="Arial" w:hAnsi="Arial"/>
          <w:b/>
          <w:bCs/>
          <w:noProof w:val="0"/>
          <w:rtl/>
        </w:rPr>
      </w:pPr>
      <w:r>
        <w:rPr>
          <w:rFonts w:ascii="Arial" w:hAnsi="Arial"/>
          <w:noProof w:val="0"/>
          <w:rtl/>
        </w:rPr>
        <w:t>20.</w:t>
      </w:r>
      <w:r>
        <w:rPr>
          <w:rFonts w:ascii="Arial" w:hAnsi="Arial"/>
          <w:noProof w:val="0"/>
          <w:rtl/>
        </w:rPr>
        <w:tab/>
      </w:r>
      <w:r>
        <w:rPr>
          <w:rFonts w:ascii="Arial" w:hAnsi="Arial"/>
          <w:b/>
          <w:bCs/>
          <w:noProof w:val="0"/>
          <w:rtl/>
        </w:rPr>
        <w:t>לאור כל זאת אני מורה על דחיית בקשת רשות הערעור, אף ללא צורך בתשובה.</w:t>
      </w:r>
    </w:p>
    <w:p w:rsidR="00890CCC" w:rsidRDefault="00890CCC" w:rsidP="00890CCC">
      <w:pPr>
        <w:spacing w:after="120" w:line="360" w:lineRule="auto"/>
        <w:ind w:left="720" w:hanging="720"/>
        <w:jc w:val="both"/>
        <w:rPr>
          <w:rFonts w:ascii="Arial" w:hAnsi="Arial"/>
          <w:b/>
          <w:bCs/>
          <w:noProof w:val="0"/>
          <w:rtl/>
        </w:rPr>
      </w:pPr>
      <w:r>
        <w:rPr>
          <w:rFonts w:ascii="Arial" w:hAnsi="Arial"/>
          <w:noProof w:val="0"/>
          <w:rtl/>
        </w:rPr>
        <w:t>21.</w:t>
      </w:r>
      <w:r>
        <w:rPr>
          <w:rFonts w:ascii="Arial" w:hAnsi="Arial"/>
          <w:b/>
          <w:bCs/>
          <w:noProof w:val="0"/>
          <w:rtl/>
        </w:rPr>
        <w:tab/>
      </w:r>
      <w:r>
        <w:rPr>
          <w:rFonts w:ascii="Arial" w:hAnsi="Arial"/>
          <w:noProof w:val="0"/>
          <w:rtl/>
        </w:rPr>
        <w:t>משלא התבקשה תשובה אין צו להוצאות.</w:t>
      </w:r>
      <w:r>
        <w:rPr>
          <w:rFonts w:ascii="Arial" w:hAnsi="Arial"/>
          <w:b/>
          <w:bCs/>
          <w:noProof w:val="0"/>
          <w:rtl/>
        </w:rPr>
        <w:t xml:space="preserve"> </w:t>
      </w:r>
    </w:p>
    <w:p w:rsidR="00890CCC" w:rsidRDefault="00890CCC" w:rsidP="00890CCC">
      <w:pPr>
        <w:spacing w:after="120" w:line="360" w:lineRule="auto"/>
        <w:ind w:left="720" w:hanging="720"/>
        <w:jc w:val="both"/>
        <w:rPr>
          <w:rFonts w:ascii="Arial" w:hAnsi="Arial"/>
          <w:b/>
          <w:bCs/>
          <w:noProof w:val="0"/>
          <w:rtl/>
        </w:rPr>
      </w:pPr>
    </w:p>
    <w:p w:rsidR="00890CCC" w:rsidRDefault="00890CCC" w:rsidP="00890CCC">
      <w:pPr>
        <w:spacing w:after="120" w:line="360" w:lineRule="auto"/>
        <w:ind w:left="720" w:hanging="720"/>
        <w:jc w:val="both"/>
        <w:rPr>
          <w:rFonts w:ascii="Arial" w:hAnsi="Arial"/>
          <w:b/>
          <w:bCs/>
          <w:noProof w:val="0"/>
          <w:rtl/>
        </w:rPr>
      </w:pPr>
      <w:r>
        <w:rPr>
          <w:rFonts w:ascii="Arial" w:hAnsi="Arial"/>
          <w:b/>
          <w:bCs/>
          <w:noProof w:val="0"/>
          <w:rtl/>
        </w:rPr>
        <w:t>המזכירות תעביר החלטה זאת לצדדים.</w:t>
      </w:r>
    </w:p>
    <w:p w:rsidR="00890CCC" w:rsidRDefault="00890CCC" w:rsidP="00890CCC">
      <w:pPr>
        <w:spacing w:after="120" w:line="360" w:lineRule="auto"/>
        <w:ind w:left="720" w:hanging="720"/>
        <w:jc w:val="both"/>
        <w:rPr>
          <w:rFonts w:ascii="Arial" w:hAnsi="Arial"/>
          <w:b/>
          <w:bCs/>
          <w:noProof w:val="0"/>
          <w:rtl/>
        </w:rPr>
      </w:pPr>
    </w:p>
    <w:p w:rsidR="00890CCC" w:rsidRDefault="00890CCC" w:rsidP="00890CCC">
      <w:pPr>
        <w:spacing w:after="120" w:line="360" w:lineRule="auto"/>
        <w:ind w:left="720" w:hanging="720"/>
        <w:jc w:val="both"/>
        <w:rPr>
          <w:rFonts w:ascii="Arial" w:hAnsi="Arial"/>
          <w:noProof w:val="0"/>
          <w:rtl/>
        </w:rPr>
      </w:pPr>
      <w:r>
        <w:rPr>
          <w:rFonts w:ascii="Arial" w:hAnsi="Arial"/>
          <w:b/>
          <w:bCs/>
          <w:noProof w:val="0"/>
          <w:rtl/>
        </w:rPr>
        <w:t xml:space="preserve">החלטה זאת מותרת לפרסום תוך השמטת שמות הצדדים, וכל פרט מזהה אחר. </w:t>
      </w:r>
      <w:r>
        <w:rPr>
          <w:rtl/>
        </w:rPr>
        <w:tab/>
        <w:t xml:space="preserve">  </w:t>
      </w:r>
      <w:sdt>
        <w:sdtPr>
          <w:rPr>
            <w:rtl/>
          </w:rPr>
          <w:alias w:val="2045"/>
          <w:tag w:val="2045"/>
          <w:id w:val="-1744714464"/>
          <w:placeholder>
            <w:docPart w:val="277199C1C00545EABBB6A71483392378"/>
          </w:placeholder>
          <w:showingPlcHdr/>
          <w:text w:multiLine="1"/>
        </w:sdtPr>
        <w:sdtEndPr/>
        <w:sdtContent>
          <w:r>
            <w:rPr>
              <w:rtl/>
            </w:rPr>
            <w:t xml:space="preserve">     </w:t>
          </w:r>
        </w:sdtContent>
      </w:sdt>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יולי 2024</w:t>
          </w:r>
        </w:sdtContent>
      </w:sdt>
      <w:r w:rsidR="00005C8B">
        <w:rPr>
          <w:rFonts w:ascii="Arial" w:hAnsi="Arial"/>
          <w:noProof w:val="0"/>
          <w:rtl/>
        </w:rPr>
        <w:t>, בהעדר הצדדים.</w:t>
      </w:r>
    </w:p>
    <w:p w:rsidR="00C43648" w:rsidRDefault="00153B2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36314258"/>
        </w:sdtPr>
        <w:sdtEndPr/>
        <w:sdtContent>
          <w:r w:rsidR="00C3608A">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0CCC">
      <w:headerReference w:type="even" r:id="rId10"/>
      <w:headerReference w:type="default" r:id="rId11"/>
      <w:footerReference w:type="even" r:id="rId12"/>
      <w:footerReference w:type="default" r:id="rId13"/>
      <w:headerReference w:type="first" r:id="rId14"/>
      <w:footerReference w:type="first" r:id="rId15"/>
      <w:pgSz w:w="11907" w:h="16840" w:code="9"/>
      <w:pgMar w:top="1440" w:right="1275" w:bottom="1440" w:left="156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B29" w:rsidRDefault="00153B29">
      <w:r>
        <w:separator/>
      </w:r>
    </w:p>
  </w:endnote>
  <w:endnote w:type="continuationSeparator" w:id="0">
    <w:p w:rsidR="00153B29" w:rsidRDefault="00153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58E" w:rsidRDefault="00E8158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E8158E">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E8158E">
      <w:rPr>
        <w:rStyle w:val="ab"/>
        <w:rFonts w:ascii="David" w:hAnsi="David"/>
        <w:rtl/>
      </w:rPr>
      <w:t>6</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58E" w:rsidRDefault="00E815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B29" w:rsidRDefault="00153B29">
      <w:r>
        <w:separator/>
      </w:r>
    </w:p>
  </w:footnote>
  <w:footnote w:type="continuationSeparator" w:id="0">
    <w:p w:rsidR="00153B29" w:rsidRDefault="00153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58E" w:rsidRDefault="00E815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6E1F19" w:rsidRDefault="00153B29" w:rsidP="006E1F19">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43788-06-24</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196359">
                <w:rPr>
                  <w:b/>
                  <w:bCs/>
                  <w:noProof w:val="0"/>
                  <w:sz w:val="26"/>
                  <w:szCs w:val="26"/>
                  <w:rtl/>
                </w:rPr>
                <w:t>ל</w:t>
              </w:r>
              <w:r w:rsidR="00196359">
                <w:rPr>
                  <w:rFonts w:hint="cs"/>
                  <w:b/>
                  <w:bCs/>
                  <w:noProof w:val="0"/>
                  <w:sz w:val="26"/>
                  <w:szCs w:val="26"/>
                  <w:rtl/>
                </w:rPr>
                <w:t>'</w:t>
              </w:r>
              <w:r w:rsidR="00196359">
                <w:rPr>
                  <w:b/>
                  <w:bCs/>
                  <w:noProof w:val="0"/>
                  <w:sz w:val="26"/>
                  <w:szCs w:val="26"/>
                  <w:rtl/>
                </w:rPr>
                <w:t xml:space="preserve"> ואח' נ' ח</w:t>
              </w:r>
              <w:r w:rsidR="00196359">
                <w:rPr>
                  <w:rFonts w:hint="cs"/>
                  <w:b/>
                  <w:bCs/>
                  <w:noProof w:val="0"/>
                  <w:sz w:val="26"/>
                  <w:szCs w:val="26"/>
                  <w:rtl/>
                </w:rPr>
                <w:t>'</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58E" w:rsidRDefault="00E8158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2748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27487&amp;lt;/CaseID&amp;gt;_x000d__x000a_        &amp;lt;CaseMonth&amp;gt;6&amp;lt;/CaseMonth&amp;gt;_x000d__x000a_        &amp;lt;CaseYear&amp;gt;2024&amp;lt;/CaseYear&amp;gt;_x000d__x000a_        &amp;lt;CaseNumber&amp;gt;43788&amp;lt;/CaseNumber&amp;gt;_x000d__x000a_        &amp;lt;NumeratorGroupID&amp;gt;1&amp;lt;/NumeratorGroupID&amp;gt;_x000d__x000a_        &amp;lt;CaseName&amp;gt;לוינסקי ואח&amp;#39; נ&amp;#39; חיריק&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3788-06-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OpenDate&amp;gt;2024-06-20T09:3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חלטה נשלח למבקש גם בפקס ידנ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27487&amp;lt;/CaseID&amp;gt;_x000d__x000a_        &amp;lt;CaseMonth&amp;gt;6&amp;lt;/CaseMonth&amp;gt;_x000d__x000a_        &amp;lt;CaseYear&amp;gt;2024&amp;lt;/CaseYear&amp;gt;_x000d__x000a_        &amp;lt;CaseNumber&amp;gt;43788&amp;lt;/CaseNumber&amp;gt;_x000d__x000a_        &amp;lt;NumeratorGroupID&amp;gt;1&amp;lt;/NumeratorGroupID&amp;gt;_x000d__x000a_        &amp;lt;CaseName&amp;gt;לוינסקי ואח&amp;#39; נ&amp;#39; חיריק&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3788-06-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4-06-20T09:3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חלטה נשלח למבקש גם בפקס ידנ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57014&amp;lt;/DecisionID&amp;gt;_x000d__x000a_        &amp;lt;DecisionName&amp;gt;החלטה  שניתנה ע&amp;quot;י  חננאל שרעבי&amp;lt;/DecisionName&amp;gt;_x000d__x000a_        &amp;lt;DecisionStatusID&amp;gt;1&amp;lt;/DecisionStatusID&amp;gt;_x000d__x000a_        &amp;lt;DecisionStatusChangeDate&amp;gt;2024-07-15T07:33:01.567+03:00&amp;lt;/DecisionStatusChangeDate&amp;gt;_x000d__x000a_        &amp;lt;DecisionSignatureDate&amp;gt;2024-07-14T21:00:49.563+03:00&amp;lt;/DecisionSignatureDate&amp;gt;_x000d__x000a_        &amp;lt;DecisionSignatureUserID&amp;gt;056479827@GOV.IL&amp;lt;/DecisionSignatureUserID&amp;gt;_x000d__x000a_        &amp;lt;DecisionCreateDate&amp;gt;2024-07-14T21:01:57.637+03:00&amp;lt;/DecisionCreateDate&amp;gt;_x000d__x000a_        &amp;lt;DecisionChangeDate&amp;gt;2024-07-15T07:33:02.27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877300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2857014&amp;lt;/DecisionID&amp;gt;_x000d__x000a_        &amp;lt;CaseID&amp;gt;81327487&amp;lt;/CaseID&amp;gt;_x000d__x000a_        &amp;lt;IsOriginal&amp;gt;true&amp;lt;/IsOriginal&amp;gt;_x000d__x000a_        &amp;lt;IsDeleted&amp;gt;false&amp;lt;/IsDeleted&amp;gt;_x000d__x000a_        &amp;lt;CaseName&amp;gt;לוינסקי ואח&amp;#39; נ&amp;#39; חיריק&amp;lt;/CaseName&amp;gt;_x000d__x000a_        &amp;lt;CaseDisplayIdentifier&amp;gt;43788-06-24 רמ&amp;quot;ש&amp;lt;/CaseDisplayIdentifier&amp;gt;_x000d__x000a_      &amp;lt;/dt_DecisionCase&amp;gt;_x000d__x000a_    &amp;lt;/DecisionDS&amp;gt;_x000d__x000a_  &amp;lt;/diffgr:diffgram&amp;gt;_x000d__x000a_&amp;lt;/DecisionDS&amp;gt;"/>
    <w:docVar w:name="DecisionID" w:val="152857014"/>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6E5C"/>
    <w:rsid w:val="00107E6D"/>
    <w:rsid w:val="0011194C"/>
    <w:rsid w:val="0011424C"/>
    <w:rsid w:val="001173C6"/>
    <w:rsid w:val="001367BC"/>
    <w:rsid w:val="00144D2A"/>
    <w:rsid w:val="0014653E"/>
    <w:rsid w:val="00153B29"/>
    <w:rsid w:val="00180519"/>
    <w:rsid w:val="00191C82"/>
    <w:rsid w:val="00196359"/>
    <w:rsid w:val="001C4003"/>
    <w:rsid w:val="001D4DBF"/>
    <w:rsid w:val="001E75CA"/>
    <w:rsid w:val="002265FF"/>
    <w:rsid w:val="00235B97"/>
    <w:rsid w:val="00271B56"/>
    <w:rsid w:val="002C344E"/>
    <w:rsid w:val="002D6551"/>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1BB0"/>
    <w:rsid w:val="00462C62"/>
    <w:rsid w:val="00465D36"/>
    <w:rsid w:val="004A72AD"/>
    <w:rsid w:val="004C17EE"/>
    <w:rsid w:val="004C4BDF"/>
    <w:rsid w:val="004D1187"/>
    <w:rsid w:val="004D3AA0"/>
    <w:rsid w:val="004E1987"/>
    <w:rsid w:val="004E2E15"/>
    <w:rsid w:val="004E6E3C"/>
    <w:rsid w:val="00511B90"/>
    <w:rsid w:val="00520898"/>
    <w:rsid w:val="00523621"/>
    <w:rsid w:val="00524986"/>
    <w:rsid w:val="005268F6"/>
    <w:rsid w:val="00526F29"/>
    <w:rsid w:val="00534284"/>
    <w:rsid w:val="00547DB7"/>
    <w:rsid w:val="005C0627"/>
    <w:rsid w:val="005E090D"/>
    <w:rsid w:val="005F4F09"/>
    <w:rsid w:val="0061431B"/>
    <w:rsid w:val="00622BAA"/>
    <w:rsid w:val="006306CF"/>
    <w:rsid w:val="006318D8"/>
    <w:rsid w:val="00644E9A"/>
    <w:rsid w:val="00671BD5"/>
    <w:rsid w:val="00672952"/>
    <w:rsid w:val="006805C1"/>
    <w:rsid w:val="00686C21"/>
    <w:rsid w:val="006931C1"/>
    <w:rsid w:val="00694556"/>
    <w:rsid w:val="006B200E"/>
    <w:rsid w:val="006B7258"/>
    <w:rsid w:val="006C30C5"/>
    <w:rsid w:val="006D3B31"/>
    <w:rsid w:val="006E0D96"/>
    <w:rsid w:val="006E1A53"/>
    <w:rsid w:val="006E1F19"/>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0CCC"/>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2040E"/>
    <w:rsid w:val="00A3392B"/>
    <w:rsid w:val="00A63C3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3608A"/>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66EB2"/>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65C48"/>
    <w:rsid w:val="00E765F7"/>
    <w:rsid w:val="00E80CBE"/>
    <w:rsid w:val="00E8158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0091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
      <w:docPartPr>
        <w:name w:val="277199C1C00545EABBB6A71483392378"/>
        <w:category>
          <w:name w:val="כללי"/>
          <w:gallery w:val="placeholder"/>
        </w:category>
        <w:types>
          <w:type w:val="bbPlcHdr"/>
        </w:types>
        <w:behaviors>
          <w:behavior w:val="content"/>
        </w:behaviors>
        <w:guid w:val="{C80E6C1E-F925-4125-A256-71571CD7F935}"/>
      </w:docPartPr>
      <w:docPartBody>
        <w:p w:rsidR="007F524B" w:rsidRDefault="00F62E17" w:rsidP="00F62E17">
          <w:pPr>
            <w:pStyle w:val="277199C1C00545EABBB6A71483392378"/>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6E0981"/>
    <w:rsid w:val="00727AB0"/>
    <w:rsid w:val="00793995"/>
    <w:rsid w:val="007C6F98"/>
    <w:rsid w:val="007E254A"/>
    <w:rsid w:val="007F524B"/>
    <w:rsid w:val="008B4366"/>
    <w:rsid w:val="009133C7"/>
    <w:rsid w:val="009178E4"/>
    <w:rsid w:val="00961B27"/>
    <w:rsid w:val="009A36E7"/>
    <w:rsid w:val="009D2081"/>
    <w:rsid w:val="00A74356"/>
    <w:rsid w:val="00AA7CE3"/>
    <w:rsid w:val="00B50DB2"/>
    <w:rsid w:val="00B72BC2"/>
    <w:rsid w:val="00B91FA3"/>
    <w:rsid w:val="00BD69D1"/>
    <w:rsid w:val="00BE6557"/>
    <w:rsid w:val="00C96C06"/>
    <w:rsid w:val="00D24521"/>
    <w:rsid w:val="00D6580E"/>
    <w:rsid w:val="00E31BF6"/>
    <w:rsid w:val="00E81DB1"/>
    <w:rsid w:val="00F04DC1"/>
    <w:rsid w:val="00F62E17"/>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45F1C9218FB249B79FB08144C866CD54">
    <w:name w:val="45F1C9218FB249B79FB08144C866CD54"/>
    <w:rsid w:val="006E0981"/>
    <w:pPr>
      <w:bidi/>
      <w:spacing w:after="160" w:line="259" w:lineRule="auto"/>
    </w:pPr>
  </w:style>
  <w:style w:type="paragraph" w:customStyle="1" w:styleId="B30D80538C54418DAACD459CBEEE6B72">
    <w:name w:val="B30D80538C54418DAACD459CBEEE6B72"/>
    <w:rsid w:val="006E0981"/>
    <w:pPr>
      <w:bidi/>
      <w:spacing w:after="160" w:line="259" w:lineRule="auto"/>
    </w:pPr>
  </w:style>
  <w:style w:type="paragraph" w:customStyle="1" w:styleId="277199C1C00545EABBB6A71483392378">
    <w:name w:val="277199C1C00545EABBB6A71483392378"/>
    <w:rsid w:val="00F62E1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נתבע</RoleName>
        <IsSubProceeding>FALSE</IsSubProceeding>
        <FullName>כלנית לוינסקי</FullName>
        <FirstName>כלנית</FirstName>
        <LastName>לוינסקי</LastName>
        <PartyPropertyName/>
        <AuthenticationTypeAndNumber>ת"ז 022926943</AuthenticationTypeAndNumber>
        <RepresentatedOrRepresentativesNames>תמר סוטיל-פיו</RepresentatedOrRepresentativesNames>
        <RepresentatedOrRepresentativesCount>1</RepresentatedOrRepresentativesCount>
        <InvitedBy/>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271683479</CasePartyID>
        <PartyTypeID>1</PartyTypeID>
        <ActivityStatusID>1</ActivityStatusID>
        <PartyAliasID>3</PartyAliasID>
        <PartyAliasName>מבקש</PartyAliasName>
        <OrdinalNumber>1</OrdinalNumber>
        <LegalEntityID>7551812</LegalEntityID>
        <CaseLegalEntityID>129339581</CaseLegalEntityID>
        <AuthenticationTypeID>1</AuthenticationTypeID>
        <AuthenticationTypeName>ת"ז</AuthenticationTypeName>
        <LegalEntityNumber>022926943</LegalEntityNumber>
        <IsMainPartyType>true</IsMainPartyType>
        <CaseDisplayIdentifier>43788-06-24</CaseDisplayIdentifier>
        <CaseTypeID>10074</CaseTypeID>
        <CaseTypeName>רשות ערעור משפחה (רמ"ש)</CaseTypeName>
        <CaseName>לוינסקי ואח' נ' חיריק</CaseName>
        <FullAddress>העצמאות 1 ב' חדרה </FullAddress>
        <MotionID>0</MotionID>
        <CasePleaID>0</CasePleaID>
        <BirthDate>1968-03-13T00:00:00+02:00</BirthDate>
        <FatherName>נסים    </FatherName>
        <LinkedCaseID>0</LinkedCaseID>
        <PartyID>1</PartyID>
        <CasePartyCategoryID>2</CasePartyCategoryID>
        <LegalEntityAddressID>86797394</LegalEntityAddressID>
        <PleaTypeID>5</PleaTypeID>
        <GroupPartyAlias>מבקשים</GroupPartyAlias>
        <IsConverted>false</IsConverted>
        <LegalEntityRegisteredNameID>410379</LegalEntityRegisteredNameID>
        <LegalEntityNameID>89291266</LegalEntityNameID>
        <RepresentatedNamesOfAssistant/>
        <LegalEntityTypeID>1</LegalEntityTypeID>
        <IsVerdictExists>false</IsVerdictExists>
        <IsAsirAzir>false</IsAsirAzir>
        <MainAndSecSpec/>
        <IsPublicationProhibited>false</IsPublicationProhibited>
        <PublicationProhibitedFullName>כלנית לוינסקי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תמר סוטיל-פיו</FullName>
        <FirstName>תמר</FirstName>
        <LastName>סוטיל-פיו</LastName>
        <PartyPropertyName/>
        <AuthenticationTypeAndNumber>מ.ר. 13429</AuthenticationTypeAndNumber>
        <RepresentatedOrRepresentativesNames>לילך הלר, כלנית לוינסקי</RepresentatedOrRepresentativesNames>
        <RepresentatedOrRepresentativesCount>2</RepresentatedOrRepresentativesCount>
        <InvitedBy/>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271683482</CasePartyID>
        <PartyTypeID>2</PartyTypeID>
        <ActivityStatusID>1</ActivityStatusID>
        <PartyAliasID>22</PartyAliasID>
        <PartyAliasName>בא כוח מבקשים</PartyAliasName>
        <OrdinalNumber>1</OrdinalNumber>
        <LegalEntityID>379922</LegalEntityID>
        <CaseLegalEntityID>129339584</CaseLegalEntityID>
        <AuthenticationTypeID>4</AuthenticationTypeID>
        <AuthenticationTypeName>מ.ר.</AuthenticationTypeName>
        <LegalEntityNumber>13429</LegalEntityNumber>
        <IsMainPartyType>true</IsMainPartyType>
        <CaseDisplayIdentifier>43788-06-24</CaseDisplayIdentifier>
        <CaseTypeID>10074</CaseTypeID>
        <CaseTypeName>רשות ערעור משפחה (רמ"ש)</CaseTypeName>
        <CaseName>לוינסקי ואח' נ' חיריק</CaseName>
        <FullAddress>פינסקר 20 נתניה </FullAddress>
        <MotionID>0</MotionID>
        <CasePleaID>0</CasePleaID>
        <FatherName xml:space="preserve">        </FatherName>
        <LinkedCaseID>0</LinkedCaseID>
        <PartyID>1</PartyID>
        <CasePartyCategoryID>2</CasePartyCategoryID>
        <LegalEntityAddressID>70238475</LegalEntityAddressID>
        <PleaTypeID>5</PleaTypeID>
        <LawyerOfficeName>משרד עו"ד: תמר סוטיל-פיו</LawyerOfficeName>
        <LawyerOfficeID>420566</LawyerOfficeID>
        <GroupPartyAlias/>
        <IsConverted>false</IsConverted>
        <LegalEntityNameID>906</LegalEntityNameID>
        <RepresentatedNamesOfAssistant/>
        <LegalEntityTypeID>4</LegalEntityTypeID>
        <IsVerdictExists>false</IsVerdictExists>
        <IsAsirAzir>false</IsAsirAzir>
        <MainAndSecSpec/>
        <IsPublicationProhibited>false</IsPublicationProhibited>
        <PublicationProhibitedFullName>תמר סוטיל-פיו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יוסף מעודה</FullName>
        <FirstName>יוסף</FirstName>
        <LastName>מעודה</LastName>
        <PartyPropertyName/>
        <AuthenticationTypeAndNumber>מ.ר. 59445</AuthenticationTypeAndNumber>
        <RepresentatedOrRepresentativesNames>בנימין חיריק</RepresentatedOrRepresentativesNames>
        <RepresentatedOrRepresentativesCount>1</RepresentatedOrRepresentativesCount>
        <InvitedBy/>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271683483</CasePartyID>
        <PartyTypeID>2</PartyTypeID>
        <ActivityStatusID>1</ActivityStatusID>
        <PartyAliasID>23</PartyAliasID>
        <PartyAliasName>בא כוח משיבים</PartyAliasName>
        <OrdinalNumber>1</OrdinalNumber>
        <LegalEntityID>71113073</LegalEntityID>
        <CaseLegalEntityID>129339585</CaseLegalEntityID>
        <AuthenticationTypeID>4</AuthenticationTypeID>
        <AuthenticationTypeName>מ.ר.</AuthenticationTypeName>
        <LegalEntityNumber>59445</LegalEntityNumber>
        <IsMainPartyType>true</IsMainPartyType>
        <CaseDisplayIdentifier>43788-06-24</CaseDisplayIdentifier>
        <CaseTypeID>10074</CaseTypeID>
        <CaseTypeName>רשות ערעור משפחה (רמ"ש)</CaseTypeName>
        <CaseName>לוינסקי ואח' נ' חיריק</CaseName>
        <FullAddress>הדרים 5 פרדס חנה-כרכור </FullAddress>
        <MotionID>0</MotionID>
        <CasePleaID>0</CasePleaID>
        <LinkedCaseID>0</LinkedCaseID>
        <PartyID>2</PartyID>
        <CasePartyCategoryID>2</CasePartyCategoryID>
        <LegalEntityAddressID>72633811</LegalEntityAddressID>
        <PleaTypeID>5</PleaTypeID>
        <LawyerOfficeName>משרד עו"ד יוסף מעודה</LawyerOfficeName>
        <LawyerOfficeID>71113074</LawyerOfficeID>
        <GroupPartyAlias/>
        <IsConverted>false</IsConverted>
        <LegalEntityNameID>74032940</LegalEntityNameID>
        <RepresentatedNamesOfAssistant/>
        <LegalEntityTypeID>4</LegalEntityTypeID>
        <IsVerdictExists>false</IsVerdictExists>
        <IsAsirAzir>false</IsAsirAzir>
        <MainAndSecSpec/>
        <IsPublicationProhibited>false</IsPublicationProhibited>
        <PublicationProhibitedFullName>יוסף מעודה</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בנימין חיריק</FullName>
        <FirstName>בנימין</FirstName>
        <LastName>חיריק</LastName>
        <PartyPropertyName/>
        <AuthenticationTypeAndNumber>ת"ז 201199239</AuthenticationTypeAndNumber>
        <RepresentatedOrRepresentativesNames>יוסף מעודה</RepresentatedOrRepresentativesNames>
        <RepresentatedOrRepresentativesCount>1</RepresentatedOrRepresentativesCount>
        <InvitedBy/>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271683481</CasePartyID>
        <PartyTypeID>1</PartyTypeID>
        <ActivityStatusID>1</ActivityStatusID>
        <PartyAliasID>4</PartyAliasID>
        <PartyAliasName>משיב</PartyAliasName>
        <OrdinalNumber>1</OrdinalNumber>
        <LegalEntityID>78498620</LegalEntityID>
        <CaseLegalEntityID>129339583</CaseLegalEntityID>
        <AuthenticationTypeID>1</AuthenticationTypeID>
        <AuthenticationTypeName>ת"ז</AuthenticationTypeName>
        <LegalEntityNumber>201199239</LegalEntityNumber>
        <IsMainPartyType>true</IsMainPartyType>
        <CaseDisplayIdentifier>43788-06-24</CaseDisplayIdentifier>
        <CaseTypeID>10074</CaseTypeID>
        <CaseTypeName>רשות ערעור משפחה (רמ"ש)</CaseTypeName>
        <CaseName>לוינסקי ואח' נ' חיריק</CaseName>
        <FullAddress>הראשונים 5 אלישיב </FullAddress>
        <MotionID>0</MotionID>
        <CasePleaID>0</CasePleaID>
        <FatherName>ירחמיאל</FatherName>
        <LinkedCaseID>0</LinkedCaseID>
        <PartyID>2</PartyID>
        <CasePartyCategoryID>2</CasePartyCategoryID>
        <LegalEntityAddressID>83185471</LegalEntityAddressID>
        <GrandfatherName/>
        <FictitiousPoliceNumber/>
        <PleaTypeID>5</PleaTypeID>
        <GroupPartyAlias>משיבים</GroupPartyAlias>
        <IsConverted>false</IsConverted>
        <LegalEntityRegisteredNameID>8861728</LegalEntityRegisteredNameID>
        <LegalEntityNameID>88584795</LegalEntityNameID>
        <RepresentatedNamesOfAssistant/>
        <LegalEntityTypeID>1</LegalEntityTypeID>
        <IsVerdictExists>false</IsVerdictExists>
        <IsAsirAzir>false</IsAsirAzir>
        <MainAndSecSpec/>
        <IsPublicationProhibited>false</IsPublicationProhibited>
        <PublicationProhibitedFullName>בנימין חיריק</PublicationProhibitedFullName>
      </CaseParties>
      <CaseParties>
        <PartyTypeName>צד</PartyTypeName>
        <ProceedingType>כתב טענות עיקרי</ProceedingType>
        <PleaName>כתב בקשה</PleaName>
        <PartyBelonging>צד א'</PartyBelonging>
        <RoleName>מבקש 2 - נתבע</RoleName>
        <IsSubProceeding>FALSE</IsSubProceeding>
        <FullName>לילך הלר</FullName>
        <FirstName>לילך</FirstName>
        <LastName>הלר</LastName>
        <PartyPropertyName/>
        <AuthenticationTypeAndNumber>ת"ז 024827735</AuthenticationTypeAndNumber>
        <RepresentatedOrRepresentativesNames>תמר סוטיל-פיו</RepresentatedOrRepresentativesNames>
        <RepresentatedOrRepresentativesCount>1</RepresentatedOrRepresentativesCount>
        <InvitedBy/>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271683480</CasePartyID>
        <PartyTypeID>1</PartyTypeID>
        <ActivityStatusID>1</ActivityStatusID>
        <PartyAliasID>3</PartyAliasID>
        <PartyAliasName>מבקש</PartyAliasName>
        <OrdinalNumber>2</OrdinalNumber>
        <LegalEntityID>78510069</LegalEntityID>
        <CaseLegalEntityID>129339582</CaseLegalEntityID>
        <AuthenticationTypeID>1</AuthenticationTypeID>
        <AuthenticationTypeName>ת"ז</AuthenticationTypeName>
        <LegalEntityNumber>024827735</LegalEntityNumber>
        <IsMainPartyType>true</IsMainPartyType>
        <CaseDisplayIdentifier>43788-06-24</CaseDisplayIdentifier>
        <CaseTypeID>10074</CaseTypeID>
        <CaseTypeName>רשות ערעור משפחה (רמ"ש)</CaseTypeName>
        <CaseName>לוינסקי ואח' נ' חיריק</CaseName>
        <FullAddress/>
        <MotionID>0</MotionID>
        <CasePleaID>0</CasePleaID>
        <FatherName>נסים</FatherName>
        <LinkedCaseID>0</LinkedCaseID>
        <PartyID>1</PartyID>
        <CasePartyCategoryID>2</CasePartyCategoryID>
        <PleaTypeID>5</PleaTypeID>
        <GroupPartyAlias>מבקשים</GroupPartyAlias>
        <IsConverted>false</IsConverted>
        <LegalEntityRegisteredNameID>8868388</LegalEntityRegisteredNameID>
        <LegalEntityNameID>89291273</LegalEntityNameID>
        <RepresentatedNamesOfAssistant/>
        <LegalEntityTypeID>1</LegalEntityTypeID>
        <IsVerdictExists>false</IsVerdictExists>
        <IsAsirAzir>false</IsAsirAzir>
        <MainAndSecSpec/>
        <IsPublicationProhibited>false</IsPublicationProhibited>
        <PublicationProhibitedFullName>לילך הלר</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2024-07-14T21:00:49.5630839+03:00</DecisionSignatureDate>
    <OpenCaseDate>2024-06-20T09:30:00+03:00</OpenCaseDate>
    <CaseFeeSum>0.000</CaseFeeSum>
    <ExternalCaseNumber>105292_4</ExternalCaseNumber>
    <DecisionTypeID>1</DecisionTypeID>
    <DecisionSignatureUserName>חננאל שרעבי</DecisionSignatureUserName>
    <DecisionSignatureDateHebrew>2024-07-14T21:00:49.5630839+03:00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לוינסקי ואח' נ' חיריק</CaseName>
    <DecisionNumberInCase>3</DecisionNumberInCase>
  </dt_Decision>
  <dt_DecisionCase>
    <DecisionID>0</DecisionID>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נתבע</RoleName>
        <IsSubProceeding>FALSE</IsSubProceeding>
        <FullName>כלנית לוינסקי</FullName>
        <FirstName>כלנית</FirstName>
        <LastName>לוינסקי</LastName>
        <PartyPropertyName/>
        <AuthenticationTypeAndNumber>ת"ז 022926943</AuthenticationTypeAndNumber>
        <RepresentatedOrRepresentativesNames>תמר סוטיל-פיו</RepresentatedOrRepresentativesNames>
        <RepresentatedOrRepresentativesCount>1</RepresentatedOrRepresentativesCount>
        <InvitedBy/>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271683479</CasePartyID>
        <PartyTypeID>1</PartyTypeID>
        <ActivityStatusID>1</ActivityStatusID>
        <PartyAliasID>3</PartyAliasID>
        <PartyAliasName>מבקש</PartyAliasName>
        <OrdinalNumber>1</OrdinalNumber>
        <LegalEntityID>7551812</LegalEntityID>
        <CaseLegalEntityID>129339581</CaseLegalEntityID>
        <AuthenticationTypeID>1</AuthenticationTypeID>
        <AuthenticationTypeName>ת"ז</AuthenticationTypeName>
        <LegalEntityNumber>022926943</LegalEntityNumber>
        <IsMainPartyType>true</IsMainPartyType>
        <CaseDisplayIdentifier>43788-06-24</CaseDisplayIdentifier>
        <CaseTypeID>10074</CaseTypeID>
        <CaseTypeName>רשות ערעור משפחה (רמ"ש)</CaseTypeName>
        <CaseName>לוינסקי ואח' נ' חיריק</CaseName>
        <FullAddress>העצמאות 1 ב' חדרה </FullAddress>
        <MotionID>0</MotionID>
        <CasePleaID>0</CasePleaID>
        <BirthDate>1968-03-13T00:00:00+02:00</BirthDate>
        <FatherName>נסים    </FatherName>
        <LinkedCaseID>0</LinkedCaseID>
        <PartyID>1</PartyID>
        <CasePartyCategoryID>2</CasePartyCategoryID>
        <LegalEntityAddressID>86797394</LegalEntityAddressID>
        <PleaTypeID>5</PleaTypeID>
        <GroupPartyAlias>מבקשים</GroupPartyAlias>
        <IsConverted>false</IsConverted>
        <LegalEntityRegisteredNameID>410379</LegalEntityRegisteredNameID>
        <LegalEntityNameID>89291266</LegalEntityNameID>
        <RepresentatedNamesOfAssistant/>
        <LegalEntityTypeID>1</LegalEntityTypeID>
        <IsVerdictExists>false</IsVerdictExists>
        <IsAsirAzir>false</IsAsirAzir>
        <MainAndSecSpec/>
        <IsPublicationProhibited>false</IsPublicationProhibited>
        <PublicationProhibitedFullName>כלנית לוינסקי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תמר סוטיל-פיו</FullName>
        <FirstName>תמר</FirstName>
        <LastName>סוטיל-פיו</LastName>
        <PartyPropertyName/>
        <AuthenticationTypeAndNumber>מ.ר. 13429</AuthenticationTypeAndNumber>
        <RepresentatedOrRepresentativesNames>לילך הלר, כלנית לוינסקי</RepresentatedOrRepresentativesNames>
        <RepresentatedOrRepresentativesCount>2</RepresentatedOrRepresentativesCount>
        <InvitedBy/>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271683482</CasePartyID>
        <PartyTypeID>2</PartyTypeID>
        <ActivityStatusID>1</ActivityStatusID>
        <PartyAliasID>22</PartyAliasID>
        <PartyAliasName>בא כוח מבקשים</PartyAliasName>
        <OrdinalNumber>1</OrdinalNumber>
        <LegalEntityID>379922</LegalEntityID>
        <CaseLegalEntityID>129339584</CaseLegalEntityID>
        <AuthenticationTypeID>4</AuthenticationTypeID>
        <AuthenticationTypeName>מ.ר.</AuthenticationTypeName>
        <LegalEntityNumber>13429</LegalEntityNumber>
        <IsMainPartyType>true</IsMainPartyType>
        <CaseDisplayIdentifier>43788-06-24</CaseDisplayIdentifier>
        <CaseTypeID>10074</CaseTypeID>
        <CaseTypeName>רשות ערעור משפחה (רמ"ש)</CaseTypeName>
        <CaseName>לוינסקי ואח' נ' חיריק</CaseName>
        <FullAddress>פינסקר 20 נתניה </FullAddress>
        <MotionID>0</MotionID>
        <CasePleaID>0</CasePleaID>
        <FatherName xml:space="preserve">        </FatherName>
        <LinkedCaseID>0</LinkedCaseID>
        <PartyID>1</PartyID>
        <CasePartyCategoryID>2</CasePartyCategoryID>
        <LegalEntityAddressID>70238475</LegalEntityAddressID>
        <PleaTypeID>5</PleaTypeID>
        <LawyerOfficeName>משרד עו"ד: תמר סוטיל-פיו</LawyerOfficeName>
        <LawyerOfficeID>420566</LawyerOfficeID>
        <GroupPartyAlias/>
        <IsConverted>false</IsConverted>
        <LegalEntityNameID>906</LegalEntityNameID>
        <RepresentatedNamesOfAssistant/>
        <LegalEntityTypeID>4</LegalEntityTypeID>
        <IsVerdictExists>false</IsVerdictExists>
        <IsAsirAzir>false</IsAsirAzir>
        <MainAndSecSpec/>
        <IsPublicationProhibited>false</IsPublicationProhibited>
        <PublicationProhibitedFullName>תמר סוטיל-פיו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יוסף מעודה</FullName>
        <FirstName>יוסף</FirstName>
        <LastName>מעודה</LastName>
        <PartyPropertyName/>
        <AuthenticationTypeAndNumber>מ.ר. 59445</AuthenticationTypeAndNumber>
        <RepresentatedOrRepresentativesNames>בנימין חיריק</RepresentatedOrRepresentativesNames>
        <RepresentatedOrRepresentativesCount>1</RepresentatedOrRepresentativesCount>
        <InvitedBy/>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271683483</CasePartyID>
        <PartyTypeID>2</PartyTypeID>
        <ActivityStatusID>1</ActivityStatusID>
        <PartyAliasID>23</PartyAliasID>
        <PartyAliasName>בא כוח משיבים</PartyAliasName>
        <OrdinalNumber>1</OrdinalNumber>
        <LegalEntityID>71113073</LegalEntityID>
        <CaseLegalEntityID>129339585</CaseLegalEntityID>
        <AuthenticationTypeID>4</AuthenticationTypeID>
        <AuthenticationTypeName>מ.ר.</AuthenticationTypeName>
        <LegalEntityNumber>59445</LegalEntityNumber>
        <IsMainPartyType>true</IsMainPartyType>
        <CaseDisplayIdentifier>43788-06-24</CaseDisplayIdentifier>
        <CaseTypeID>10074</CaseTypeID>
        <CaseTypeName>רשות ערעור משפחה (רמ"ש)</CaseTypeName>
        <CaseName>לוינסקי ואח' נ' חיריק</CaseName>
        <FullAddress>הדרים 5 פרדס חנה-כרכור </FullAddress>
        <MotionID>0</MotionID>
        <CasePleaID>0</CasePleaID>
        <LinkedCaseID>0</LinkedCaseID>
        <PartyID>2</PartyID>
        <CasePartyCategoryID>2</CasePartyCategoryID>
        <LegalEntityAddressID>72633811</LegalEntityAddressID>
        <PleaTypeID>5</PleaTypeID>
        <LawyerOfficeName>משרד עו"ד יוסף מעודה</LawyerOfficeName>
        <LawyerOfficeID>71113074</LawyerOfficeID>
        <GroupPartyAlias/>
        <IsConverted>false</IsConverted>
        <LegalEntityNameID>74032940</LegalEntityNameID>
        <RepresentatedNamesOfAssistant/>
        <LegalEntityTypeID>4</LegalEntityTypeID>
        <IsVerdictExists>false</IsVerdictExists>
        <IsAsirAzir>false</IsAsirAzir>
        <MainAndSecSpec/>
        <IsPublicationProhibited>false</IsPublicationProhibited>
        <PublicationProhibitedFullName>יוסף מעודה</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בנימין חיריק</FullName>
        <FirstName>בנימין</FirstName>
        <LastName>חיריק</LastName>
        <PartyPropertyName/>
        <AuthenticationTypeAndNumber>ת"ז 201199239</AuthenticationTypeAndNumber>
        <RepresentatedOrRepresentativesNames>יוסף מעודה</RepresentatedOrRepresentativesNames>
        <RepresentatedOrRepresentativesCount>1</RepresentatedOrRepresentativesCount>
        <InvitedBy/>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271683481</CasePartyID>
        <PartyTypeID>1</PartyTypeID>
        <ActivityStatusID>1</ActivityStatusID>
        <PartyAliasID>4</PartyAliasID>
        <PartyAliasName>משיב</PartyAliasName>
        <OrdinalNumber>1</OrdinalNumber>
        <LegalEntityID>78498620</LegalEntityID>
        <CaseLegalEntityID>129339583</CaseLegalEntityID>
        <AuthenticationTypeID>1</AuthenticationTypeID>
        <AuthenticationTypeName>ת"ז</AuthenticationTypeName>
        <LegalEntityNumber>201199239</LegalEntityNumber>
        <IsMainPartyType>true</IsMainPartyType>
        <CaseDisplayIdentifier>43788-06-24</CaseDisplayIdentifier>
        <CaseTypeID>10074</CaseTypeID>
        <CaseTypeName>רשות ערעור משפחה (רמ"ש)</CaseTypeName>
        <CaseName>לוינסקי ואח' נ' חיריק</CaseName>
        <FullAddress>הראשונים 5 אלישיב </FullAddress>
        <MotionID>0</MotionID>
        <CasePleaID>0</CasePleaID>
        <FatherName>ירחמיאל</FatherName>
        <LinkedCaseID>0</LinkedCaseID>
        <PartyID>2</PartyID>
        <CasePartyCategoryID>2</CasePartyCategoryID>
        <LegalEntityAddressID>83185471</LegalEntityAddressID>
        <GrandfatherName/>
        <FictitiousPoliceNumber/>
        <PleaTypeID>5</PleaTypeID>
        <GroupPartyAlias>משיבים</GroupPartyAlias>
        <IsConverted>false</IsConverted>
        <LegalEntityRegisteredNameID>8861728</LegalEntityRegisteredNameID>
        <LegalEntityNameID>88584795</LegalEntityNameID>
        <RepresentatedNamesOfAssistant/>
        <LegalEntityTypeID>1</LegalEntityTypeID>
        <IsVerdictExists>false</IsVerdictExists>
        <IsAsirAzir>false</IsAsirAzir>
        <MainAndSecSpec/>
        <IsPublicationProhibited>false</IsPublicationProhibited>
        <PublicationProhibitedFullName>בנימין חיריק</PublicationProhibitedFullName>
      </CaseParties>
      <CaseParties>
        <PartyTypeName>צד</PartyTypeName>
        <ProceedingType>כתב טענות עיקרי</ProceedingType>
        <PleaName>כתב בקשה</PleaName>
        <PartyBelonging>צד א'</PartyBelonging>
        <RoleName>מבקש 2 - נתבע</RoleName>
        <IsSubProceeding>FALSE</IsSubProceeding>
        <FullName>לילך הלר</FullName>
        <FirstName>לילך</FirstName>
        <LastName>הלר</LastName>
        <PartyPropertyName/>
        <AuthenticationTypeAndNumber>ת"ז 024827735</AuthenticationTypeAndNumber>
        <RepresentatedOrRepresentativesNames>תמר סוטיל-פיו</RepresentatedOrRepresentativesNames>
        <RepresentatedOrRepresentativesCount>1</RepresentatedOrRepresentativesCount>
        <InvitedBy/>
        <CaseID>81327487</CaseID>
        <CaseJudicialPersonPresentationDS>
          <CaseJudicalPersonActive>
            <CaseID>81327487</CaseID>
            <JudicialPersonID>056479827@GOV.IL</JudicialPersonID>
            <JudicialPersonTypeID>1</JudicialPersonTypeID>
            <JudicialTypeID>1</JudicialTypeID>
            <IsChairman>false</IsChairman>
            <TreatmentStartDate>2024-07-14T12:25:58.8+03:00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271683480</CasePartyID>
        <PartyTypeID>1</PartyTypeID>
        <ActivityStatusID>1</ActivityStatusID>
        <PartyAliasID>3</PartyAliasID>
        <PartyAliasName>מבקש</PartyAliasName>
        <OrdinalNumber>2</OrdinalNumber>
        <LegalEntityID>78510069</LegalEntityID>
        <CaseLegalEntityID>129339582</CaseLegalEntityID>
        <AuthenticationTypeID>1</AuthenticationTypeID>
        <AuthenticationTypeName>ת"ז</AuthenticationTypeName>
        <LegalEntityNumber>024827735</LegalEntityNumber>
        <IsMainPartyType>true</IsMainPartyType>
        <CaseDisplayIdentifier>43788-06-24</CaseDisplayIdentifier>
        <CaseTypeID>10074</CaseTypeID>
        <CaseTypeName>רשות ערעור משפחה (רמ"ש)</CaseTypeName>
        <CaseName>לוינסקי ואח' נ' חיריק</CaseName>
        <FullAddress/>
        <MotionID>0</MotionID>
        <CasePleaID>0</CasePleaID>
        <FatherName>נסים</FatherName>
        <LinkedCaseID>0</LinkedCaseID>
        <PartyID>1</PartyID>
        <CasePartyCategoryID>2</CasePartyCategoryID>
        <PleaTypeID>5</PleaTypeID>
        <GroupPartyAlias>מבקשים</GroupPartyAlias>
        <IsConverted>false</IsConverted>
        <LegalEntityRegisteredNameID>8868388</LegalEntityRegisteredNameID>
        <LegalEntityNameID>89291273</LegalEntityNameID>
        <RepresentatedNamesOfAssistant/>
        <LegalEntityTypeID>1</LegalEntityTypeID>
        <IsVerdictExists>false</IsVerdictExists>
        <IsAsirAzir>false</IsAsirAzir>
        <MainAndSecSpec/>
        <IsPublicationProhibited>false</IsPublicationProhibited>
        <PublicationProhibitedFullName>לילך הלר</PublicationProhibitedFullName>
      </CaseParties>
    </CasePartiesSelectionDS>
    <CaseName>לוינסקי ואח' נ' חיריק</CaseName>
    <CaseDisplayIdentifier>43788-06-24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העצמאות 1 ב' </StreetName>
    <CityName>חדרה</CityName>
    <FullName>כלנית לוינסקי</FullName>
    <IsPublicationProhibited>false</IsPublicationProhibited>
  </dt_LegalEntityDetails>
  <dt_LegalEntityDetails>
    <PartyID>2</PartyID>
    <PartyTypeID>1</PartyTypeID>
    <DecisionID>0</DecisionID>
    <StreetName>הראשונים 5</StreetName>
    <ZipCode>42885</ZipCode>
    <CityName>אלישיב</CityName>
    <FullName>בנימין חיריק</FullName>
    <IsPublicationProhibited>false</IsPublicationProhibited>
  </dt_LegalEntityDetails>
  <dt_LegalEntityDetails>
    <Fax>09-8623670</Fax>
    <Phone>09-8846201</Phone>
    <PartyID>1</PartyID>
    <PartyTypeID>2</PartyTypeID>
    <DecisionID>0</DecisionID>
    <StreetName>פינסקר 20</StreetName>
    <ZipCode>42411</ZipCode>
    <CityName>נתניה</CityName>
    <FullName>תמר סוטיל-פיו</FullName>
    <Email>tamar_s2@bezeqint.net</Email>
    <IsPublicationProhibited>false</IsPublicationProhibited>
  </dt_LegalEntityDetails>
  <dt_LegalEntityDetails>
    <Fax>04-6230886</Fax>
    <Phone>04-6230889</Phone>
    <PartyID>2</PartyID>
    <PartyTypeID>2</PartyTypeID>
    <DecisionID>0</DecisionID>
    <StreetName>הדרים 5</StreetName>
    <ZipCode>37012</ZipCode>
    <CityName>פרדס חנה-כרכור</CityName>
    <FullName>יוסף מעודה</FullName>
    <Email>maudalaw@gmail.com</Email>
    <IsPublicationProhibited>false</IsPublicationProhibited>
  </dt_LegalEntityDetails>
  <dt_LegalEntityDetails>
    <PartyID>1</PartyID>
    <PartyTypeID>1</PartyTypeID>
    <DecisionID>0</DecisionID>
    <FullName>לילך הלר</FullName>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AA2BA-33F1-4E9F-AD8A-0129764330F9}">
  <ds:schemaRefs/>
</ds:datastoreItem>
</file>

<file path=customXml/itemProps2.xml><?xml version="1.0" encoding="utf-8"?>
<ds:datastoreItem xmlns:ds="http://schemas.openxmlformats.org/officeDocument/2006/customXml" ds:itemID="{06D09F47-B0EB-4AEF-9D39-FABF6AA2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1603</Words>
  <Characters>8020</Characters>
  <Application>Microsoft Office Word</Application>
  <DocSecurity>0</DocSecurity>
  <Lines>66</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2024-07-25T06:30:00Z</dcterms:created>
  <dcterms:modified xsi:type="dcterms:W3CDTF">2024-07-25T06:30:00Z</dcterms:modified>
</cp:coreProperties>
</file>